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630C496">
      <w:pPr>
        <w:pStyle w:val="111"/>
        <w:spacing w:before="0" w:after="0"/>
        <w:ind w:firstLine="0"/>
        <w:rPr>
          <w:rFonts w:ascii="Times New Roman" w:hAnsi="Times New Roman"/>
          <w:highlight w:val="none"/>
        </w:rPr>
      </w:pPr>
    </w:p>
    <w:p w14:paraId="44E1EA6E">
      <w:pPr>
        <w:pStyle w:val="111"/>
        <w:spacing w:before="0" w:after="0"/>
        <w:ind w:firstLine="0"/>
        <w:rPr>
          <w:rFonts w:ascii="Times New Roman" w:hAnsi="Times New Roman"/>
          <w:highlight w:val="none"/>
        </w:rPr>
      </w:pPr>
    </w:p>
    <w:p w14:paraId="4B02258F">
      <w:pPr>
        <w:pStyle w:val="111"/>
        <w:ind w:firstLine="0"/>
        <w:jc w:val="center"/>
        <w:rPr>
          <w:rFonts w:ascii="Times New Roman" w:hAnsi="Times New Roman" w:eastAsia="黑体"/>
          <w:b/>
          <w:bCs/>
          <w:sz w:val="84"/>
          <w:highlight w:val="none"/>
        </w:rPr>
      </w:pPr>
    </w:p>
    <w:p w14:paraId="51073442">
      <w:pPr>
        <w:pStyle w:val="111"/>
        <w:ind w:firstLine="0"/>
        <w:jc w:val="center"/>
        <w:rPr>
          <w:rFonts w:ascii="Times New Roman" w:hAnsi="Times New Roman" w:eastAsia="黑体"/>
          <w:b/>
          <w:bCs/>
          <w:sz w:val="84"/>
          <w:highlight w:val="none"/>
        </w:rPr>
      </w:pPr>
      <w:r>
        <w:rPr>
          <w:rFonts w:ascii="Times New Roman" w:hAnsi="Times New Roman" w:eastAsia="黑体"/>
          <w:b/>
          <w:bCs/>
          <w:sz w:val="84"/>
          <w:highlight w:val="none"/>
        </w:rPr>
        <w:t>招　标　文　件</w:t>
      </w:r>
    </w:p>
    <w:p w14:paraId="0C07AD6A">
      <w:pPr>
        <w:pStyle w:val="111"/>
        <w:ind w:firstLine="0"/>
        <w:jc w:val="center"/>
        <w:rPr>
          <w:rFonts w:ascii="Times New Roman" w:hAnsi="Times New Roman"/>
          <w:b/>
          <w:bCs/>
          <w:color w:val="000000"/>
          <w:sz w:val="32"/>
          <w:highlight w:val="none"/>
        </w:rPr>
      </w:pPr>
    </w:p>
    <w:p w14:paraId="25B539A3">
      <w:pPr>
        <w:pStyle w:val="111"/>
        <w:ind w:firstLine="0"/>
        <w:jc w:val="center"/>
        <w:rPr>
          <w:rFonts w:hint="default" w:ascii="Times New Roman" w:hAnsi="Times New Roman"/>
          <w:b/>
          <w:bCs/>
          <w:sz w:val="32"/>
          <w:highlight w:val="none"/>
          <w:lang w:val="en-US"/>
        </w:rPr>
      </w:pPr>
      <w:r>
        <w:rPr>
          <w:rFonts w:ascii="Times New Roman" w:hAnsi="Times New Roman"/>
          <w:b/>
          <w:bCs/>
          <w:color w:val="000000"/>
          <w:sz w:val="32"/>
          <w:highlight w:val="none"/>
        </w:rPr>
        <w:t>项目名称：</w:t>
      </w:r>
      <w:r>
        <w:rPr>
          <w:rFonts w:hint="eastAsia" w:ascii="Times New Roman" w:hAnsi="Times New Roman"/>
          <w:b/>
          <w:bCs/>
          <w:sz w:val="32"/>
          <w:szCs w:val="32"/>
          <w:highlight w:val="none"/>
          <w:lang w:val="en-US" w:eastAsia="zh-CN"/>
        </w:rPr>
        <w:t>江苏体彩传统终端机采购项目</w:t>
      </w:r>
    </w:p>
    <w:p w14:paraId="53C00F66">
      <w:pPr>
        <w:pStyle w:val="111"/>
        <w:ind w:firstLine="0"/>
        <w:jc w:val="center"/>
        <w:rPr>
          <w:rFonts w:ascii="Times New Roman" w:hAnsi="Times New Roman"/>
          <w:b/>
          <w:bCs/>
          <w:sz w:val="32"/>
          <w:highlight w:val="none"/>
        </w:rPr>
      </w:pPr>
    </w:p>
    <w:p w14:paraId="062F60E6">
      <w:pPr>
        <w:pStyle w:val="111"/>
        <w:ind w:firstLine="0"/>
        <w:jc w:val="center"/>
        <w:rPr>
          <w:rFonts w:ascii="Times New Roman" w:hAnsi="Times New Roman"/>
          <w:b/>
          <w:bCs/>
          <w:sz w:val="32"/>
          <w:highlight w:val="none"/>
        </w:rPr>
      </w:pPr>
      <w:r>
        <w:rPr>
          <w:rFonts w:hint="eastAsia" w:ascii="Times New Roman" w:hAnsi="Times New Roman"/>
          <w:b/>
          <w:bCs/>
          <w:sz w:val="32"/>
          <w:highlight w:val="none"/>
          <w:lang w:val="en-US" w:eastAsia="zh-CN"/>
        </w:rPr>
        <w:t>项目</w:t>
      </w:r>
      <w:r>
        <w:rPr>
          <w:rFonts w:ascii="Times New Roman" w:hAnsi="Times New Roman"/>
          <w:b/>
          <w:bCs/>
          <w:sz w:val="32"/>
          <w:highlight w:val="none"/>
        </w:rPr>
        <w:t>编号：</w:t>
      </w:r>
      <w:r>
        <w:rPr>
          <w:rFonts w:hint="eastAsia" w:ascii="Times New Roman" w:hAnsi="Times New Roman"/>
          <w:b/>
          <w:bCs/>
          <w:sz w:val="32"/>
          <w:highlight w:val="none"/>
          <w:lang w:eastAsia="zh-CN"/>
        </w:rPr>
        <w:t>JSZC-320000-STZB-G2026-0016（STZ-ZBGK26015）</w:t>
      </w:r>
      <w:r>
        <w:rPr>
          <w:rFonts w:ascii="Times New Roman" w:hAnsi="Times New Roman"/>
          <w:b/>
          <w:bCs/>
          <w:sz w:val="32"/>
          <w:highlight w:val="none"/>
        </w:rPr>
        <w:t xml:space="preserve"> </w:t>
      </w:r>
    </w:p>
    <w:p w14:paraId="1EEE86E6">
      <w:pPr>
        <w:pStyle w:val="111"/>
        <w:spacing w:before="0" w:after="0"/>
        <w:ind w:firstLine="0"/>
        <w:rPr>
          <w:rFonts w:ascii="Times New Roman" w:hAnsi="Times New Roman"/>
          <w:highlight w:val="none"/>
        </w:rPr>
      </w:pPr>
    </w:p>
    <w:p w14:paraId="19BAEA0B">
      <w:pPr>
        <w:pStyle w:val="111"/>
        <w:spacing w:before="0" w:after="0"/>
        <w:ind w:firstLine="0"/>
        <w:rPr>
          <w:rFonts w:ascii="Times New Roman" w:hAnsi="Times New Roman"/>
          <w:highlight w:val="none"/>
        </w:rPr>
      </w:pPr>
    </w:p>
    <w:p w14:paraId="0D89DAC2">
      <w:pPr>
        <w:pStyle w:val="111"/>
        <w:spacing w:before="0" w:after="0"/>
        <w:ind w:firstLine="0"/>
        <w:rPr>
          <w:rFonts w:ascii="Times New Roman" w:hAnsi="Times New Roman"/>
          <w:highlight w:val="none"/>
        </w:rPr>
      </w:pPr>
    </w:p>
    <w:p w14:paraId="737357AD">
      <w:pPr>
        <w:pStyle w:val="111"/>
        <w:spacing w:before="0" w:after="0"/>
        <w:ind w:firstLine="0"/>
        <w:rPr>
          <w:rFonts w:ascii="Times New Roman" w:hAnsi="Times New Roman"/>
          <w:highlight w:val="none"/>
        </w:rPr>
      </w:pPr>
    </w:p>
    <w:p w14:paraId="12DA806E">
      <w:pPr>
        <w:pStyle w:val="111"/>
        <w:spacing w:before="0" w:after="0"/>
        <w:ind w:firstLine="0"/>
        <w:rPr>
          <w:rFonts w:ascii="Times New Roman" w:hAnsi="Times New Roman"/>
          <w:highlight w:val="none"/>
        </w:rPr>
      </w:pPr>
    </w:p>
    <w:p w14:paraId="1E7AD2DC">
      <w:pPr>
        <w:pStyle w:val="111"/>
        <w:spacing w:before="0" w:after="0"/>
        <w:ind w:firstLine="0"/>
        <w:rPr>
          <w:rFonts w:ascii="Times New Roman" w:hAnsi="Times New Roman"/>
          <w:highlight w:val="none"/>
        </w:rPr>
      </w:pPr>
    </w:p>
    <w:p w14:paraId="5E326AC1">
      <w:pPr>
        <w:pStyle w:val="111"/>
        <w:spacing w:before="0" w:after="0"/>
        <w:ind w:firstLine="0"/>
        <w:rPr>
          <w:rFonts w:ascii="Times New Roman" w:hAnsi="Times New Roman"/>
          <w:highlight w:val="none"/>
        </w:rPr>
      </w:pPr>
    </w:p>
    <w:p w14:paraId="52904115">
      <w:pPr>
        <w:pStyle w:val="111"/>
        <w:spacing w:before="0" w:after="0"/>
        <w:ind w:firstLine="0"/>
        <w:rPr>
          <w:rFonts w:ascii="Times New Roman" w:hAnsi="Times New Roman"/>
          <w:highlight w:val="none"/>
        </w:rPr>
      </w:pPr>
    </w:p>
    <w:p w14:paraId="4AAF256E">
      <w:pPr>
        <w:pStyle w:val="111"/>
        <w:spacing w:before="0" w:after="0"/>
        <w:ind w:firstLine="0"/>
        <w:rPr>
          <w:rFonts w:ascii="Times New Roman" w:hAnsi="Times New Roman"/>
          <w:highlight w:val="none"/>
        </w:rPr>
      </w:pPr>
    </w:p>
    <w:p w14:paraId="74B2E054">
      <w:pPr>
        <w:pStyle w:val="111"/>
        <w:spacing w:before="0" w:after="0"/>
        <w:ind w:firstLine="0"/>
        <w:rPr>
          <w:rFonts w:ascii="Times New Roman" w:hAnsi="Times New Roman"/>
          <w:highlight w:val="none"/>
        </w:rPr>
      </w:pPr>
    </w:p>
    <w:p w14:paraId="5F817C37">
      <w:pPr>
        <w:pStyle w:val="111"/>
        <w:spacing w:before="0" w:after="0"/>
        <w:ind w:firstLine="0"/>
        <w:rPr>
          <w:rFonts w:ascii="Times New Roman" w:hAnsi="Times New Roman"/>
          <w:highlight w:val="none"/>
        </w:rPr>
      </w:pPr>
    </w:p>
    <w:p w14:paraId="495E036C">
      <w:pPr>
        <w:pStyle w:val="111"/>
        <w:ind w:firstLine="0"/>
        <w:jc w:val="center"/>
        <w:rPr>
          <w:rFonts w:ascii="Times New Roman" w:hAnsi="Times New Roman"/>
          <w:b/>
          <w:bCs/>
          <w:sz w:val="32"/>
          <w:highlight w:val="none"/>
        </w:rPr>
      </w:pPr>
      <w:r>
        <w:rPr>
          <w:rFonts w:ascii="Times New Roman" w:hAnsi="Times New Roman"/>
          <w:b/>
          <w:bCs/>
          <w:sz w:val="32"/>
          <w:highlight w:val="none"/>
        </w:rPr>
        <w:t>江苏省体育装备中心</w:t>
      </w:r>
    </w:p>
    <w:p w14:paraId="7B44D829">
      <w:pPr>
        <w:pStyle w:val="111"/>
        <w:ind w:firstLine="0"/>
        <w:jc w:val="center"/>
        <w:rPr>
          <w:rFonts w:ascii="Times New Roman" w:hAnsi="Times New Roman"/>
          <w:b/>
          <w:bCs/>
          <w:sz w:val="32"/>
          <w:highlight w:val="none"/>
        </w:rPr>
      </w:pPr>
      <w:r>
        <w:rPr>
          <w:rFonts w:ascii="Times New Roman" w:hAnsi="Times New Roman"/>
          <w:b/>
          <w:bCs/>
          <w:sz w:val="32"/>
          <w:highlight w:val="none"/>
        </w:rPr>
        <w:t>二〇二</w:t>
      </w:r>
      <w:r>
        <w:rPr>
          <w:rFonts w:hint="eastAsia" w:ascii="Times New Roman" w:hAnsi="Times New Roman"/>
          <w:b/>
          <w:bCs/>
          <w:sz w:val="32"/>
          <w:highlight w:val="none"/>
          <w:lang w:val="en-US" w:eastAsia="zh-CN"/>
        </w:rPr>
        <w:t>六</w:t>
      </w:r>
      <w:r>
        <w:rPr>
          <w:rFonts w:ascii="Times New Roman" w:hAnsi="Times New Roman"/>
          <w:b/>
          <w:bCs/>
          <w:sz w:val="32"/>
          <w:highlight w:val="none"/>
        </w:rPr>
        <w:t>年</w:t>
      </w:r>
      <w:r>
        <w:rPr>
          <w:rFonts w:hint="eastAsia" w:ascii="Times New Roman" w:hAnsi="Times New Roman"/>
          <w:b/>
          <w:bCs/>
          <w:sz w:val="32"/>
          <w:highlight w:val="none"/>
          <w:lang w:val="en-US" w:eastAsia="zh-CN"/>
        </w:rPr>
        <w:t>三</w:t>
      </w:r>
      <w:r>
        <w:rPr>
          <w:rFonts w:ascii="Times New Roman" w:hAnsi="Times New Roman"/>
          <w:b/>
          <w:bCs/>
          <w:sz w:val="32"/>
          <w:highlight w:val="none"/>
        </w:rPr>
        <w:t>月</w:t>
      </w:r>
    </w:p>
    <w:p w14:paraId="49A622D6">
      <w:pPr>
        <w:pStyle w:val="111"/>
        <w:ind w:firstLine="0"/>
        <w:jc w:val="center"/>
        <w:rPr>
          <w:rFonts w:ascii="Times New Roman" w:hAnsi="Times New Roman"/>
          <w:b/>
          <w:bCs/>
          <w:sz w:val="32"/>
          <w:highlight w:val="none"/>
        </w:rPr>
      </w:pPr>
    </w:p>
    <w:p w14:paraId="624A0D6A">
      <w:pPr>
        <w:pStyle w:val="111"/>
        <w:ind w:firstLine="0"/>
        <w:jc w:val="center"/>
        <w:rPr>
          <w:rFonts w:ascii="Times New Roman" w:hAnsi="Times New Roman"/>
          <w:highlight w:val="none"/>
        </w:rPr>
      </w:pPr>
    </w:p>
    <w:p w14:paraId="57D21BE8">
      <w:pPr>
        <w:spacing w:line="440" w:lineRule="exact"/>
        <w:jc w:val="center"/>
        <w:rPr>
          <w:rFonts w:ascii="Times New Roman" w:hAnsi="Times New Roman"/>
          <w:b/>
          <w:bCs/>
          <w:sz w:val="32"/>
          <w:szCs w:val="32"/>
          <w:highlight w:val="none"/>
        </w:rPr>
      </w:pPr>
      <w:r>
        <w:rPr>
          <w:rFonts w:ascii="Times New Roman" w:hAnsi="Times New Roman"/>
          <w:highlight w:val="none"/>
        </w:rPr>
        <w:br w:type="page"/>
      </w:r>
      <w:bookmarkStart w:id="0" w:name="_Toc481072514"/>
      <w:bookmarkStart w:id="1" w:name="_Toc481072416"/>
      <w:bookmarkStart w:id="2" w:name="_Toc481073014"/>
      <w:bookmarkStart w:id="3" w:name="_Toc481071963"/>
      <w:bookmarkStart w:id="4" w:name="_Toc475009293"/>
      <w:bookmarkStart w:id="5" w:name="_Toc481072009"/>
      <w:bookmarkStart w:id="6" w:name="_Toc483326168"/>
      <w:bookmarkStart w:id="7" w:name="_Toc120614210"/>
      <w:bookmarkStart w:id="8" w:name="_Toc479757206"/>
      <w:bookmarkStart w:id="9" w:name="_Toc16938516"/>
      <w:bookmarkStart w:id="10" w:name="_Toc523127445"/>
      <w:bookmarkStart w:id="11" w:name="_Toc513029200"/>
      <w:bookmarkStart w:id="12" w:name="_Toc20823272"/>
      <w:r>
        <w:rPr>
          <w:rFonts w:ascii="Times New Roman" w:hAnsi="Times New Roman"/>
          <w:b/>
          <w:bCs/>
          <w:sz w:val="32"/>
          <w:szCs w:val="32"/>
          <w:highlight w:val="none"/>
        </w:rPr>
        <w:t>总  目  录</w:t>
      </w:r>
      <w:bookmarkEnd w:id="0"/>
      <w:bookmarkEnd w:id="1"/>
      <w:bookmarkEnd w:id="2"/>
      <w:bookmarkEnd w:id="3"/>
      <w:bookmarkEnd w:id="4"/>
      <w:bookmarkEnd w:id="5"/>
      <w:bookmarkEnd w:id="6"/>
      <w:r>
        <w:rPr>
          <w:rFonts w:ascii="Times New Roman" w:hAnsi="Times New Roman"/>
          <w:b/>
          <w:bCs/>
          <w:sz w:val="32"/>
          <w:szCs w:val="32"/>
          <w:highlight w:val="none"/>
        </w:rPr>
        <w:t xml:space="preserve">           </w:t>
      </w:r>
    </w:p>
    <w:p w14:paraId="6AA07870">
      <w:pPr>
        <w:pStyle w:val="2"/>
        <w:spacing w:line="560" w:lineRule="exact"/>
        <w:rPr>
          <w:rFonts w:ascii="Times New Roman" w:eastAsia="黑体"/>
          <w:bCs/>
          <w:sz w:val="44"/>
          <w:highlight w:val="none"/>
        </w:rPr>
      </w:pPr>
      <w:bookmarkStart w:id="13" w:name="_Toc481072010"/>
      <w:bookmarkStart w:id="14" w:name="_Toc475009294"/>
      <w:bookmarkStart w:id="15" w:name="_Toc481071964"/>
    </w:p>
    <w:p w14:paraId="3DE2E339">
      <w:pPr>
        <w:pStyle w:val="26"/>
        <w:tabs>
          <w:tab w:val="right" w:leader="dot" w:pos="8943"/>
        </w:tabs>
        <w:rPr>
          <w:b w:val="0"/>
          <w:bCs w:val="0"/>
          <w:caps w:val="0"/>
          <w:sz w:val="28"/>
          <w:szCs w:val="22"/>
          <w:highlight w:val="none"/>
        </w:rPr>
      </w:pPr>
      <w:r>
        <w:rPr>
          <w:rFonts w:ascii="Times New Roman" w:hAnsi="Times New Roman"/>
          <w:sz w:val="72"/>
          <w:highlight w:val="none"/>
        </w:rPr>
        <w:fldChar w:fldCharType="begin"/>
      </w:r>
      <w:r>
        <w:rPr>
          <w:rFonts w:ascii="Times New Roman" w:hAnsi="Times New Roman"/>
          <w:sz w:val="72"/>
          <w:highlight w:val="none"/>
        </w:rPr>
        <w:instrText xml:space="preserve"> TOC \o "1-1" \h \z \u </w:instrText>
      </w:r>
      <w:r>
        <w:rPr>
          <w:rFonts w:ascii="Times New Roman" w:hAnsi="Times New Roman"/>
          <w:sz w:val="72"/>
          <w:highlight w:val="none"/>
        </w:rPr>
        <w:fldChar w:fldCharType="separate"/>
      </w:r>
      <w:r>
        <w:rPr>
          <w:rStyle w:val="42"/>
          <w:sz w:val="24"/>
          <w:highlight w:val="none"/>
        </w:rPr>
        <w:fldChar w:fldCharType="begin"/>
      </w:r>
      <w:r>
        <w:rPr>
          <w:rStyle w:val="42"/>
          <w:sz w:val="24"/>
          <w:highlight w:val="none"/>
        </w:rPr>
        <w:instrText xml:space="preserve"> </w:instrText>
      </w:r>
      <w:r>
        <w:rPr>
          <w:sz w:val="24"/>
          <w:highlight w:val="none"/>
        </w:rPr>
        <w:instrText xml:space="preserve">HYPERLINK \l "_Toc145408596"</w:instrText>
      </w:r>
      <w:r>
        <w:rPr>
          <w:rStyle w:val="42"/>
          <w:sz w:val="24"/>
          <w:highlight w:val="none"/>
        </w:rPr>
        <w:instrText xml:space="preserve"> </w:instrText>
      </w:r>
      <w:r>
        <w:rPr>
          <w:rStyle w:val="42"/>
          <w:sz w:val="24"/>
          <w:highlight w:val="none"/>
        </w:rPr>
        <w:fldChar w:fldCharType="separate"/>
      </w:r>
      <w:r>
        <w:rPr>
          <w:rStyle w:val="42"/>
          <w:rFonts w:hint="eastAsia" w:eastAsia="黑体"/>
          <w:sz w:val="24"/>
          <w:highlight w:val="none"/>
        </w:rPr>
        <w:t>第一章</w:t>
      </w:r>
      <w:r>
        <w:rPr>
          <w:rStyle w:val="42"/>
          <w:rFonts w:eastAsia="黑体"/>
          <w:sz w:val="24"/>
          <w:highlight w:val="none"/>
        </w:rPr>
        <w:t xml:space="preserve">  </w:t>
      </w:r>
      <w:r>
        <w:rPr>
          <w:rStyle w:val="42"/>
          <w:rFonts w:hint="eastAsia" w:eastAsia="黑体"/>
          <w:sz w:val="24"/>
          <w:highlight w:val="none"/>
        </w:rPr>
        <w:t>招标邀请</w:t>
      </w:r>
      <w:r>
        <w:rPr>
          <w:sz w:val="24"/>
          <w:highlight w:val="none"/>
        </w:rPr>
        <w:tab/>
      </w:r>
      <w:r>
        <w:rPr>
          <w:sz w:val="24"/>
          <w:highlight w:val="none"/>
        </w:rPr>
        <w:fldChar w:fldCharType="begin"/>
      </w:r>
      <w:r>
        <w:rPr>
          <w:sz w:val="24"/>
          <w:highlight w:val="none"/>
        </w:rPr>
        <w:instrText xml:space="preserve"> PAGEREF _Toc145408596 \h </w:instrText>
      </w:r>
      <w:r>
        <w:rPr>
          <w:sz w:val="24"/>
          <w:highlight w:val="none"/>
        </w:rPr>
        <w:fldChar w:fldCharType="separate"/>
      </w:r>
      <w:r>
        <w:rPr>
          <w:sz w:val="24"/>
          <w:highlight w:val="none"/>
        </w:rPr>
        <w:t>1</w:t>
      </w:r>
      <w:r>
        <w:rPr>
          <w:sz w:val="24"/>
          <w:highlight w:val="none"/>
        </w:rPr>
        <w:fldChar w:fldCharType="end"/>
      </w:r>
      <w:r>
        <w:rPr>
          <w:rStyle w:val="42"/>
          <w:sz w:val="24"/>
          <w:highlight w:val="none"/>
        </w:rPr>
        <w:fldChar w:fldCharType="end"/>
      </w:r>
    </w:p>
    <w:p w14:paraId="38DA0349">
      <w:pPr>
        <w:pStyle w:val="26"/>
        <w:tabs>
          <w:tab w:val="right" w:leader="dot" w:pos="8943"/>
        </w:tabs>
        <w:rPr>
          <w:b w:val="0"/>
          <w:bCs w:val="0"/>
          <w:caps w:val="0"/>
          <w:sz w:val="28"/>
          <w:szCs w:val="22"/>
          <w:highlight w:val="none"/>
        </w:rPr>
      </w:pPr>
      <w:r>
        <w:rPr>
          <w:rStyle w:val="42"/>
          <w:sz w:val="24"/>
          <w:highlight w:val="none"/>
        </w:rPr>
        <w:fldChar w:fldCharType="begin"/>
      </w:r>
      <w:r>
        <w:rPr>
          <w:rStyle w:val="42"/>
          <w:sz w:val="24"/>
          <w:highlight w:val="none"/>
        </w:rPr>
        <w:instrText xml:space="preserve"> </w:instrText>
      </w:r>
      <w:r>
        <w:rPr>
          <w:sz w:val="24"/>
          <w:highlight w:val="none"/>
        </w:rPr>
        <w:instrText xml:space="preserve">HYPERLINK \l "_Toc145408597"</w:instrText>
      </w:r>
      <w:r>
        <w:rPr>
          <w:rStyle w:val="42"/>
          <w:sz w:val="24"/>
          <w:highlight w:val="none"/>
        </w:rPr>
        <w:instrText xml:space="preserve"> </w:instrText>
      </w:r>
      <w:r>
        <w:rPr>
          <w:rStyle w:val="42"/>
          <w:sz w:val="24"/>
          <w:highlight w:val="none"/>
        </w:rPr>
        <w:fldChar w:fldCharType="separate"/>
      </w:r>
      <w:r>
        <w:rPr>
          <w:rStyle w:val="42"/>
          <w:rFonts w:hint="eastAsia" w:eastAsia="黑体"/>
          <w:sz w:val="24"/>
          <w:highlight w:val="none"/>
        </w:rPr>
        <w:t>第二章</w:t>
      </w:r>
      <w:r>
        <w:rPr>
          <w:rStyle w:val="42"/>
          <w:rFonts w:eastAsia="黑体"/>
          <w:sz w:val="24"/>
          <w:highlight w:val="none"/>
        </w:rPr>
        <w:t xml:space="preserve">  </w:t>
      </w:r>
      <w:r>
        <w:rPr>
          <w:rStyle w:val="42"/>
          <w:rFonts w:hint="eastAsia" w:eastAsia="黑体"/>
          <w:sz w:val="24"/>
          <w:highlight w:val="none"/>
        </w:rPr>
        <w:t>供应商须知</w:t>
      </w:r>
      <w:r>
        <w:rPr>
          <w:sz w:val="24"/>
          <w:highlight w:val="none"/>
        </w:rPr>
        <w:tab/>
      </w:r>
      <w:r>
        <w:rPr>
          <w:sz w:val="24"/>
          <w:highlight w:val="none"/>
        </w:rPr>
        <w:fldChar w:fldCharType="begin"/>
      </w:r>
      <w:r>
        <w:rPr>
          <w:sz w:val="24"/>
          <w:highlight w:val="none"/>
        </w:rPr>
        <w:instrText xml:space="preserve"> PAGEREF _Toc145408597 \h </w:instrText>
      </w:r>
      <w:r>
        <w:rPr>
          <w:sz w:val="24"/>
          <w:highlight w:val="none"/>
        </w:rPr>
        <w:fldChar w:fldCharType="separate"/>
      </w:r>
      <w:r>
        <w:rPr>
          <w:sz w:val="24"/>
          <w:highlight w:val="none"/>
        </w:rPr>
        <w:t>4</w:t>
      </w:r>
      <w:r>
        <w:rPr>
          <w:sz w:val="24"/>
          <w:highlight w:val="none"/>
        </w:rPr>
        <w:fldChar w:fldCharType="end"/>
      </w:r>
      <w:r>
        <w:rPr>
          <w:rStyle w:val="42"/>
          <w:sz w:val="24"/>
          <w:highlight w:val="none"/>
        </w:rPr>
        <w:fldChar w:fldCharType="end"/>
      </w:r>
    </w:p>
    <w:p w14:paraId="240DF85F">
      <w:pPr>
        <w:pStyle w:val="26"/>
        <w:tabs>
          <w:tab w:val="left" w:pos="840"/>
          <w:tab w:val="right" w:leader="dot" w:pos="8943"/>
        </w:tabs>
        <w:rPr>
          <w:b w:val="0"/>
          <w:bCs w:val="0"/>
          <w:caps w:val="0"/>
          <w:sz w:val="28"/>
          <w:szCs w:val="22"/>
          <w:highlight w:val="none"/>
        </w:rPr>
      </w:pPr>
      <w:r>
        <w:rPr>
          <w:rStyle w:val="42"/>
          <w:sz w:val="24"/>
          <w:highlight w:val="none"/>
        </w:rPr>
        <w:fldChar w:fldCharType="begin"/>
      </w:r>
      <w:r>
        <w:rPr>
          <w:rStyle w:val="42"/>
          <w:sz w:val="24"/>
          <w:highlight w:val="none"/>
        </w:rPr>
        <w:instrText xml:space="preserve"> </w:instrText>
      </w:r>
      <w:r>
        <w:rPr>
          <w:sz w:val="24"/>
          <w:highlight w:val="none"/>
        </w:rPr>
        <w:instrText xml:space="preserve">HYPERLINK \l "_Toc145408598"</w:instrText>
      </w:r>
      <w:r>
        <w:rPr>
          <w:rStyle w:val="42"/>
          <w:sz w:val="24"/>
          <w:highlight w:val="none"/>
        </w:rPr>
        <w:instrText xml:space="preserve"> </w:instrText>
      </w:r>
      <w:r>
        <w:rPr>
          <w:rStyle w:val="42"/>
          <w:sz w:val="24"/>
          <w:highlight w:val="none"/>
        </w:rPr>
        <w:fldChar w:fldCharType="separate"/>
      </w:r>
      <w:r>
        <w:rPr>
          <w:rStyle w:val="42"/>
          <w:rFonts w:hint="eastAsia" w:eastAsia="黑体"/>
          <w:sz w:val="24"/>
          <w:highlight w:val="none"/>
        </w:rPr>
        <w:t>第三章</w:t>
      </w:r>
      <w:r>
        <w:rPr>
          <w:b w:val="0"/>
          <w:bCs w:val="0"/>
          <w:caps w:val="0"/>
          <w:sz w:val="28"/>
          <w:szCs w:val="22"/>
          <w:highlight w:val="none"/>
        </w:rPr>
        <w:tab/>
      </w:r>
      <w:r>
        <w:rPr>
          <w:rFonts w:hint="eastAsia"/>
          <w:b w:val="0"/>
          <w:bCs w:val="0"/>
          <w:caps w:val="0"/>
          <w:sz w:val="28"/>
          <w:szCs w:val="22"/>
          <w:highlight w:val="none"/>
          <w:lang w:val="en-US" w:eastAsia="zh-CN"/>
        </w:rPr>
        <w:t xml:space="preserve"> </w:t>
      </w:r>
      <w:r>
        <w:rPr>
          <w:rStyle w:val="42"/>
          <w:rFonts w:hint="eastAsia" w:eastAsia="黑体"/>
          <w:sz w:val="24"/>
          <w:highlight w:val="none"/>
        </w:rPr>
        <w:t>合同条款及格式</w:t>
      </w:r>
      <w:r>
        <w:rPr>
          <w:sz w:val="24"/>
          <w:highlight w:val="none"/>
        </w:rPr>
        <w:tab/>
      </w:r>
      <w:r>
        <w:rPr>
          <w:sz w:val="24"/>
          <w:highlight w:val="none"/>
        </w:rPr>
        <w:fldChar w:fldCharType="begin"/>
      </w:r>
      <w:r>
        <w:rPr>
          <w:sz w:val="24"/>
          <w:highlight w:val="none"/>
        </w:rPr>
        <w:instrText xml:space="preserve"> PAGEREF _Toc145408598 \h </w:instrText>
      </w:r>
      <w:r>
        <w:rPr>
          <w:sz w:val="24"/>
          <w:highlight w:val="none"/>
        </w:rPr>
        <w:fldChar w:fldCharType="separate"/>
      </w:r>
      <w:r>
        <w:rPr>
          <w:sz w:val="24"/>
          <w:highlight w:val="none"/>
        </w:rPr>
        <w:t>2</w:t>
      </w:r>
      <w:r>
        <w:rPr>
          <w:rFonts w:hint="eastAsia"/>
          <w:sz w:val="24"/>
          <w:highlight w:val="none"/>
          <w:lang w:val="en-US" w:eastAsia="zh-CN"/>
        </w:rPr>
        <w:t>2</w:t>
      </w:r>
      <w:r>
        <w:rPr>
          <w:sz w:val="24"/>
          <w:highlight w:val="none"/>
        </w:rPr>
        <w:fldChar w:fldCharType="end"/>
      </w:r>
      <w:r>
        <w:rPr>
          <w:rStyle w:val="42"/>
          <w:sz w:val="24"/>
          <w:highlight w:val="none"/>
        </w:rPr>
        <w:fldChar w:fldCharType="end"/>
      </w:r>
    </w:p>
    <w:p w14:paraId="3F892628">
      <w:pPr>
        <w:pStyle w:val="26"/>
        <w:tabs>
          <w:tab w:val="left" w:pos="840"/>
          <w:tab w:val="right" w:leader="dot" w:pos="8943"/>
        </w:tabs>
        <w:rPr>
          <w:b w:val="0"/>
          <w:bCs w:val="0"/>
          <w:caps w:val="0"/>
          <w:sz w:val="28"/>
          <w:szCs w:val="22"/>
          <w:highlight w:val="none"/>
        </w:rPr>
      </w:pPr>
      <w:r>
        <w:rPr>
          <w:rStyle w:val="42"/>
          <w:sz w:val="24"/>
          <w:highlight w:val="none"/>
        </w:rPr>
        <w:fldChar w:fldCharType="begin"/>
      </w:r>
      <w:r>
        <w:rPr>
          <w:rStyle w:val="42"/>
          <w:sz w:val="24"/>
          <w:highlight w:val="none"/>
        </w:rPr>
        <w:instrText xml:space="preserve"> </w:instrText>
      </w:r>
      <w:r>
        <w:rPr>
          <w:sz w:val="24"/>
          <w:highlight w:val="none"/>
        </w:rPr>
        <w:instrText xml:space="preserve">HYPERLINK \l "_Toc145408599"</w:instrText>
      </w:r>
      <w:r>
        <w:rPr>
          <w:rStyle w:val="42"/>
          <w:sz w:val="24"/>
          <w:highlight w:val="none"/>
        </w:rPr>
        <w:instrText xml:space="preserve"> </w:instrText>
      </w:r>
      <w:r>
        <w:rPr>
          <w:rStyle w:val="42"/>
          <w:sz w:val="24"/>
          <w:highlight w:val="none"/>
        </w:rPr>
        <w:fldChar w:fldCharType="separate"/>
      </w:r>
      <w:r>
        <w:rPr>
          <w:rStyle w:val="42"/>
          <w:rFonts w:hint="eastAsia" w:eastAsia="黑体"/>
          <w:sz w:val="24"/>
          <w:highlight w:val="none"/>
        </w:rPr>
        <w:t>第四章</w:t>
      </w:r>
      <w:r>
        <w:rPr>
          <w:b w:val="0"/>
          <w:bCs w:val="0"/>
          <w:caps w:val="0"/>
          <w:sz w:val="28"/>
          <w:szCs w:val="22"/>
          <w:highlight w:val="none"/>
        </w:rPr>
        <w:tab/>
      </w:r>
      <w:r>
        <w:rPr>
          <w:rFonts w:hint="eastAsia"/>
          <w:b w:val="0"/>
          <w:bCs w:val="0"/>
          <w:caps w:val="0"/>
          <w:sz w:val="28"/>
          <w:szCs w:val="22"/>
          <w:highlight w:val="none"/>
          <w:lang w:val="en-US" w:eastAsia="zh-CN"/>
        </w:rPr>
        <w:t xml:space="preserve"> </w:t>
      </w:r>
      <w:r>
        <w:rPr>
          <w:rStyle w:val="42"/>
          <w:rFonts w:hint="eastAsia" w:eastAsia="黑体"/>
          <w:sz w:val="24"/>
          <w:highlight w:val="none"/>
        </w:rPr>
        <w:t>项目需求</w:t>
      </w:r>
      <w:r>
        <w:rPr>
          <w:sz w:val="24"/>
          <w:highlight w:val="none"/>
        </w:rPr>
        <w:tab/>
      </w:r>
      <w:r>
        <w:rPr>
          <w:sz w:val="24"/>
          <w:highlight w:val="none"/>
        </w:rPr>
        <w:fldChar w:fldCharType="begin"/>
      </w:r>
      <w:r>
        <w:rPr>
          <w:sz w:val="24"/>
          <w:highlight w:val="none"/>
        </w:rPr>
        <w:instrText xml:space="preserve"> PAGEREF _Toc145408599 \h </w:instrText>
      </w:r>
      <w:r>
        <w:rPr>
          <w:sz w:val="24"/>
          <w:highlight w:val="none"/>
        </w:rPr>
        <w:fldChar w:fldCharType="separate"/>
      </w:r>
      <w:r>
        <w:rPr>
          <w:sz w:val="24"/>
          <w:highlight w:val="none"/>
        </w:rPr>
        <w:t>29</w:t>
      </w:r>
      <w:r>
        <w:rPr>
          <w:sz w:val="24"/>
          <w:highlight w:val="none"/>
        </w:rPr>
        <w:fldChar w:fldCharType="end"/>
      </w:r>
      <w:r>
        <w:rPr>
          <w:rStyle w:val="42"/>
          <w:sz w:val="24"/>
          <w:highlight w:val="none"/>
        </w:rPr>
        <w:fldChar w:fldCharType="end"/>
      </w:r>
    </w:p>
    <w:p w14:paraId="66B085B6">
      <w:pPr>
        <w:pStyle w:val="26"/>
        <w:tabs>
          <w:tab w:val="left" w:pos="840"/>
          <w:tab w:val="right" w:leader="dot" w:pos="8943"/>
        </w:tabs>
        <w:rPr>
          <w:b w:val="0"/>
          <w:bCs w:val="0"/>
          <w:caps w:val="0"/>
          <w:sz w:val="28"/>
          <w:szCs w:val="22"/>
          <w:highlight w:val="none"/>
        </w:rPr>
      </w:pPr>
      <w:r>
        <w:rPr>
          <w:rStyle w:val="42"/>
          <w:sz w:val="24"/>
          <w:highlight w:val="none"/>
        </w:rPr>
        <w:fldChar w:fldCharType="begin"/>
      </w:r>
      <w:r>
        <w:rPr>
          <w:rStyle w:val="42"/>
          <w:sz w:val="24"/>
          <w:highlight w:val="none"/>
        </w:rPr>
        <w:instrText xml:space="preserve"> </w:instrText>
      </w:r>
      <w:r>
        <w:rPr>
          <w:sz w:val="24"/>
          <w:highlight w:val="none"/>
        </w:rPr>
        <w:instrText xml:space="preserve">HYPERLINK \l "_Toc145408600"</w:instrText>
      </w:r>
      <w:r>
        <w:rPr>
          <w:rStyle w:val="42"/>
          <w:sz w:val="24"/>
          <w:highlight w:val="none"/>
        </w:rPr>
        <w:instrText xml:space="preserve"> </w:instrText>
      </w:r>
      <w:r>
        <w:rPr>
          <w:rStyle w:val="42"/>
          <w:sz w:val="24"/>
          <w:highlight w:val="none"/>
        </w:rPr>
        <w:fldChar w:fldCharType="separate"/>
      </w:r>
      <w:r>
        <w:rPr>
          <w:rStyle w:val="42"/>
          <w:rFonts w:hint="eastAsia" w:eastAsia="黑体"/>
          <w:sz w:val="24"/>
          <w:highlight w:val="none"/>
        </w:rPr>
        <w:t>第五章</w:t>
      </w:r>
      <w:r>
        <w:rPr>
          <w:b w:val="0"/>
          <w:bCs w:val="0"/>
          <w:caps w:val="0"/>
          <w:sz w:val="28"/>
          <w:szCs w:val="22"/>
          <w:highlight w:val="none"/>
        </w:rPr>
        <w:tab/>
      </w:r>
      <w:r>
        <w:rPr>
          <w:rFonts w:hint="eastAsia"/>
          <w:b w:val="0"/>
          <w:bCs w:val="0"/>
          <w:caps w:val="0"/>
          <w:sz w:val="28"/>
          <w:szCs w:val="22"/>
          <w:highlight w:val="none"/>
          <w:lang w:val="en-US" w:eastAsia="zh-CN"/>
        </w:rPr>
        <w:t xml:space="preserve"> </w:t>
      </w:r>
      <w:r>
        <w:rPr>
          <w:rStyle w:val="42"/>
          <w:rFonts w:hint="eastAsia" w:eastAsia="黑体"/>
          <w:sz w:val="24"/>
          <w:highlight w:val="none"/>
        </w:rPr>
        <w:t>评标办法和评标标准</w:t>
      </w:r>
      <w:r>
        <w:rPr>
          <w:sz w:val="24"/>
          <w:highlight w:val="none"/>
        </w:rPr>
        <w:tab/>
      </w:r>
      <w:r>
        <w:rPr>
          <w:sz w:val="24"/>
          <w:highlight w:val="none"/>
        </w:rPr>
        <w:fldChar w:fldCharType="begin"/>
      </w:r>
      <w:r>
        <w:rPr>
          <w:sz w:val="24"/>
          <w:highlight w:val="none"/>
        </w:rPr>
        <w:instrText xml:space="preserve"> PAGEREF _Toc145408600 \h </w:instrText>
      </w:r>
      <w:r>
        <w:rPr>
          <w:sz w:val="24"/>
          <w:highlight w:val="none"/>
        </w:rPr>
        <w:fldChar w:fldCharType="separate"/>
      </w:r>
      <w:r>
        <w:rPr>
          <w:sz w:val="24"/>
          <w:highlight w:val="none"/>
        </w:rPr>
        <w:t>33</w:t>
      </w:r>
      <w:r>
        <w:rPr>
          <w:sz w:val="24"/>
          <w:highlight w:val="none"/>
        </w:rPr>
        <w:fldChar w:fldCharType="end"/>
      </w:r>
      <w:r>
        <w:rPr>
          <w:rStyle w:val="42"/>
          <w:sz w:val="24"/>
          <w:highlight w:val="none"/>
        </w:rPr>
        <w:fldChar w:fldCharType="end"/>
      </w:r>
    </w:p>
    <w:p w14:paraId="3F5E6731">
      <w:pPr>
        <w:pStyle w:val="26"/>
        <w:tabs>
          <w:tab w:val="right" w:leader="dot" w:pos="8943"/>
        </w:tabs>
        <w:rPr>
          <w:b w:val="0"/>
          <w:bCs w:val="0"/>
          <w:caps w:val="0"/>
          <w:sz w:val="28"/>
          <w:szCs w:val="22"/>
          <w:highlight w:val="none"/>
        </w:rPr>
      </w:pPr>
      <w:r>
        <w:rPr>
          <w:rStyle w:val="42"/>
          <w:sz w:val="24"/>
          <w:highlight w:val="none"/>
        </w:rPr>
        <w:fldChar w:fldCharType="begin"/>
      </w:r>
      <w:r>
        <w:rPr>
          <w:rStyle w:val="42"/>
          <w:sz w:val="24"/>
          <w:highlight w:val="none"/>
        </w:rPr>
        <w:instrText xml:space="preserve"> </w:instrText>
      </w:r>
      <w:r>
        <w:rPr>
          <w:sz w:val="24"/>
          <w:highlight w:val="none"/>
        </w:rPr>
        <w:instrText xml:space="preserve">HYPERLINK \l "_Toc145408601"</w:instrText>
      </w:r>
      <w:r>
        <w:rPr>
          <w:rStyle w:val="42"/>
          <w:sz w:val="24"/>
          <w:highlight w:val="none"/>
        </w:rPr>
        <w:instrText xml:space="preserve"> </w:instrText>
      </w:r>
      <w:r>
        <w:rPr>
          <w:rStyle w:val="42"/>
          <w:sz w:val="24"/>
          <w:highlight w:val="none"/>
        </w:rPr>
        <w:fldChar w:fldCharType="separate"/>
      </w:r>
      <w:r>
        <w:rPr>
          <w:rStyle w:val="42"/>
          <w:rFonts w:hint="eastAsia" w:eastAsia="黑体"/>
          <w:sz w:val="24"/>
          <w:highlight w:val="none"/>
        </w:rPr>
        <w:t>第六章</w:t>
      </w:r>
      <w:r>
        <w:rPr>
          <w:rStyle w:val="42"/>
          <w:rFonts w:eastAsia="黑体"/>
          <w:sz w:val="24"/>
          <w:highlight w:val="none"/>
        </w:rPr>
        <w:t xml:space="preserve">  </w:t>
      </w:r>
      <w:r>
        <w:rPr>
          <w:rStyle w:val="42"/>
          <w:rFonts w:hint="eastAsia" w:eastAsia="黑体"/>
          <w:sz w:val="24"/>
          <w:highlight w:val="none"/>
        </w:rPr>
        <w:t>投标文件格式</w:t>
      </w:r>
      <w:r>
        <w:rPr>
          <w:sz w:val="24"/>
          <w:highlight w:val="none"/>
        </w:rPr>
        <w:tab/>
      </w:r>
      <w:r>
        <w:rPr>
          <w:sz w:val="24"/>
          <w:highlight w:val="none"/>
        </w:rPr>
        <w:fldChar w:fldCharType="begin"/>
      </w:r>
      <w:r>
        <w:rPr>
          <w:sz w:val="24"/>
          <w:highlight w:val="none"/>
        </w:rPr>
        <w:instrText xml:space="preserve"> PAGEREF _Toc145408601 \h </w:instrText>
      </w:r>
      <w:r>
        <w:rPr>
          <w:sz w:val="24"/>
          <w:highlight w:val="none"/>
        </w:rPr>
        <w:fldChar w:fldCharType="separate"/>
      </w:r>
      <w:r>
        <w:rPr>
          <w:sz w:val="24"/>
          <w:highlight w:val="none"/>
        </w:rPr>
        <w:t>37</w:t>
      </w:r>
      <w:r>
        <w:rPr>
          <w:sz w:val="24"/>
          <w:highlight w:val="none"/>
        </w:rPr>
        <w:fldChar w:fldCharType="end"/>
      </w:r>
      <w:r>
        <w:rPr>
          <w:rStyle w:val="42"/>
          <w:sz w:val="24"/>
          <w:highlight w:val="none"/>
        </w:rPr>
        <w:fldChar w:fldCharType="end"/>
      </w:r>
    </w:p>
    <w:p w14:paraId="371C357B">
      <w:pPr>
        <w:pStyle w:val="26"/>
        <w:tabs>
          <w:tab w:val="right" w:leader="dot" w:pos="8943"/>
        </w:tabs>
        <w:rPr>
          <w:b w:val="0"/>
          <w:bCs w:val="0"/>
          <w:caps w:val="0"/>
          <w:sz w:val="28"/>
          <w:szCs w:val="22"/>
          <w:highlight w:val="none"/>
        </w:rPr>
      </w:pPr>
      <w:r>
        <w:rPr>
          <w:rStyle w:val="42"/>
          <w:rFonts w:hint="eastAsia" w:ascii="Times New Roman" w:hAnsi="Times New Roman" w:eastAsia="黑体" w:cs="Times New Roman"/>
          <w:b/>
          <w:bCs/>
          <w:caps/>
          <w:sz w:val="24"/>
          <w:highlight w:val="none"/>
        </w:rPr>
        <w:t>附</w:t>
      </w:r>
      <w:r>
        <w:rPr>
          <w:rStyle w:val="42"/>
          <w:rFonts w:hint="eastAsia" w:ascii="Times New Roman" w:hAnsi="Times New Roman" w:eastAsia="黑体" w:cs="Times New Roman"/>
          <w:b/>
          <w:bCs/>
          <w:caps/>
          <w:sz w:val="24"/>
          <w:highlight w:val="none"/>
          <w:lang w:val="en-US" w:eastAsia="zh-CN"/>
        </w:rPr>
        <w:t xml:space="preserve">  </w:t>
      </w:r>
      <w:r>
        <w:rPr>
          <w:rStyle w:val="42"/>
          <w:rFonts w:hint="eastAsia" w:ascii="Times New Roman" w:hAnsi="Times New Roman" w:eastAsia="黑体" w:cs="Times New Roman"/>
          <w:b/>
          <w:bCs/>
          <w:caps/>
          <w:sz w:val="24"/>
          <w:highlight w:val="none"/>
        </w:rPr>
        <w:t>件</w:t>
      </w:r>
      <w:r>
        <w:rPr>
          <w:rStyle w:val="42"/>
          <w:rFonts w:hint="eastAsia" w:eastAsia="宋体"/>
          <w:sz w:val="24"/>
          <w:highlight w:val="none"/>
          <w:u w:val="none"/>
          <w:lang w:val="en-US" w:eastAsia="zh-CN"/>
        </w:rPr>
        <w:t xml:space="preserve">  </w:t>
      </w:r>
      <w:r>
        <w:rPr>
          <w:rStyle w:val="42"/>
          <w:sz w:val="24"/>
          <w:highlight w:val="none"/>
        </w:rPr>
        <w:fldChar w:fldCharType="begin"/>
      </w:r>
      <w:r>
        <w:rPr>
          <w:rStyle w:val="42"/>
          <w:sz w:val="24"/>
          <w:highlight w:val="none"/>
        </w:rPr>
        <w:instrText xml:space="preserve"> </w:instrText>
      </w:r>
      <w:r>
        <w:rPr>
          <w:sz w:val="24"/>
          <w:highlight w:val="none"/>
        </w:rPr>
        <w:instrText xml:space="preserve">HYPERLINK \l "_Toc145408603"</w:instrText>
      </w:r>
      <w:r>
        <w:rPr>
          <w:rStyle w:val="42"/>
          <w:sz w:val="24"/>
          <w:highlight w:val="none"/>
        </w:rPr>
        <w:instrText xml:space="preserve"> </w:instrText>
      </w:r>
      <w:r>
        <w:rPr>
          <w:rStyle w:val="42"/>
          <w:sz w:val="24"/>
          <w:highlight w:val="none"/>
        </w:rPr>
        <w:fldChar w:fldCharType="separate"/>
      </w:r>
      <w:r>
        <w:rPr>
          <w:rStyle w:val="42"/>
          <w:rFonts w:hint="eastAsia" w:eastAsia="黑体"/>
          <w:sz w:val="24"/>
          <w:highlight w:val="none"/>
        </w:rPr>
        <w:t>质疑函范本</w:t>
      </w:r>
      <w:r>
        <w:rPr>
          <w:sz w:val="24"/>
          <w:highlight w:val="none"/>
        </w:rPr>
        <w:tab/>
      </w:r>
      <w:r>
        <w:rPr>
          <w:sz w:val="24"/>
          <w:highlight w:val="none"/>
        </w:rPr>
        <w:fldChar w:fldCharType="begin"/>
      </w:r>
      <w:r>
        <w:rPr>
          <w:sz w:val="24"/>
          <w:highlight w:val="none"/>
        </w:rPr>
        <w:instrText xml:space="preserve"> PAGEREF _Toc145408603 \h </w:instrText>
      </w:r>
      <w:r>
        <w:rPr>
          <w:sz w:val="24"/>
          <w:highlight w:val="none"/>
        </w:rPr>
        <w:fldChar w:fldCharType="separate"/>
      </w:r>
      <w:r>
        <w:rPr>
          <w:sz w:val="24"/>
          <w:highlight w:val="none"/>
        </w:rPr>
        <w:t>6</w:t>
      </w:r>
      <w:r>
        <w:rPr>
          <w:rFonts w:hint="eastAsia"/>
          <w:sz w:val="24"/>
          <w:highlight w:val="none"/>
          <w:lang w:val="en-US" w:eastAsia="zh-CN"/>
        </w:rPr>
        <w:t>0</w:t>
      </w:r>
      <w:r>
        <w:rPr>
          <w:sz w:val="24"/>
          <w:highlight w:val="none"/>
        </w:rPr>
        <w:fldChar w:fldCharType="end"/>
      </w:r>
      <w:r>
        <w:rPr>
          <w:rStyle w:val="42"/>
          <w:sz w:val="24"/>
          <w:highlight w:val="none"/>
        </w:rPr>
        <w:fldChar w:fldCharType="end"/>
      </w:r>
    </w:p>
    <w:p w14:paraId="2897ACDD">
      <w:pPr>
        <w:rPr>
          <w:rFonts w:ascii="Times New Roman" w:hAnsi="Times New Roman"/>
          <w:highlight w:val="none"/>
        </w:rPr>
        <w:sectPr>
          <w:pgSz w:w="11906" w:h="16838"/>
          <w:pgMar w:top="1418" w:right="1588" w:bottom="1418" w:left="1365" w:header="851" w:footer="907" w:gutter="0"/>
          <w:pgNumType w:start="1"/>
          <w:cols w:space="720" w:num="1"/>
          <w:docGrid w:type="lines" w:linePitch="290" w:charSpace="0"/>
        </w:sectPr>
      </w:pPr>
      <w:r>
        <w:rPr>
          <w:rFonts w:ascii="Times New Roman" w:hAnsi="Times New Roman"/>
          <w:sz w:val="96"/>
          <w:highlight w:val="none"/>
        </w:rPr>
        <w:fldChar w:fldCharType="end"/>
      </w:r>
    </w:p>
    <w:p w14:paraId="58FFC27D">
      <w:pPr>
        <w:pStyle w:val="2"/>
        <w:spacing w:line="560" w:lineRule="exact"/>
        <w:rPr>
          <w:rFonts w:ascii="Times New Roman" w:eastAsia="黑体"/>
          <w:bCs/>
          <w:sz w:val="44"/>
          <w:highlight w:val="none"/>
        </w:rPr>
      </w:pPr>
      <w:bookmarkStart w:id="16" w:name="_Toc511899512"/>
      <w:r>
        <w:rPr>
          <w:rFonts w:ascii="Times New Roman" w:eastAsia="黑体"/>
          <w:bCs/>
          <w:sz w:val="44"/>
          <w:highlight w:val="none"/>
        </w:rPr>
        <w:br w:type="page"/>
      </w:r>
      <w:bookmarkStart w:id="17" w:name="_Toc145408596"/>
      <w:r>
        <w:rPr>
          <w:rFonts w:ascii="Times New Roman" w:eastAsia="黑体"/>
          <w:bCs/>
          <w:sz w:val="44"/>
          <w:highlight w:val="none"/>
        </w:rPr>
        <w:t xml:space="preserve">第一章  </w:t>
      </w:r>
      <w:bookmarkEnd w:id="7"/>
      <w:bookmarkEnd w:id="13"/>
      <w:bookmarkEnd w:id="14"/>
      <w:bookmarkEnd w:id="15"/>
      <w:r>
        <w:rPr>
          <w:rFonts w:ascii="Times New Roman" w:eastAsia="黑体"/>
          <w:bCs/>
          <w:sz w:val="44"/>
          <w:highlight w:val="none"/>
        </w:rPr>
        <w:t>招标邀请</w:t>
      </w:r>
      <w:bookmarkEnd w:id="16"/>
      <w:bookmarkEnd w:id="17"/>
    </w:p>
    <w:p w14:paraId="02DFF5EC">
      <w:pPr>
        <w:spacing w:line="520" w:lineRule="exact"/>
        <w:ind w:firstLine="480" w:firstLineChars="200"/>
        <w:rPr>
          <w:rFonts w:ascii="Times New Roman" w:hAnsi="Times New Roman"/>
          <w:bCs/>
          <w:sz w:val="24"/>
          <w:highlight w:val="none"/>
        </w:rPr>
      </w:pPr>
      <w:r>
        <w:rPr>
          <w:rFonts w:ascii="Times New Roman" w:hAnsi="Times New Roman"/>
          <w:bCs/>
          <w:sz w:val="24"/>
          <w:highlight w:val="none"/>
        </w:rPr>
        <w:t>江苏省体育装备中心（以下简称装备中心）受江苏省体育彩票管理中心的委托，决定就其所需的</w:t>
      </w:r>
      <w:r>
        <w:rPr>
          <w:rFonts w:hint="eastAsia"/>
          <w:bCs/>
          <w:sz w:val="24"/>
          <w:highlight w:val="none"/>
          <w:lang w:val="en-US" w:eastAsia="zh-CN"/>
        </w:rPr>
        <w:t>江苏体彩传统终端机采购项目</w:t>
      </w:r>
      <w:r>
        <w:rPr>
          <w:rFonts w:ascii="Times New Roman" w:hAnsi="Times New Roman"/>
          <w:bCs/>
          <w:sz w:val="24"/>
          <w:highlight w:val="none"/>
        </w:rPr>
        <w:t>进行公开招标，现欢迎符合相关条件的合格供应商投标。</w:t>
      </w:r>
    </w:p>
    <w:p w14:paraId="5BF941EE">
      <w:pPr>
        <w:pBdr>
          <w:top w:val="single" w:color="auto" w:sz="4" w:space="1"/>
          <w:left w:val="single" w:color="auto" w:sz="4" w:space="4"/>
          <w:bottom w:val="single" w:color="auto" w:sz="4" w:space="1"/>
          <w:right w:val="single" w:color="auto" w:sz="4" w:space="4"/>
        </w:pBdr>
        <w:spacing w:line="520" w:lineRule="exact"/>
        <w:ind w:firstLine="480" w:firstLineChars="200"/>
        <w:rPr>
          <w:rFonts w:ascii="宋体" w:hAnsi="宋体"/>
          <w:sz w:val="24"/>
          <w:szCs w:val="24"/>
          <w:highlight w:val="none"/>
        </w:rPr>
      </w:pPr>
      <w:r>
        <w:rPr>
          <w:rFonts w:hint="eastAsia" w:ascii="宋体" w:hAnsi="宋体"/>
          <w:sz w:val="24"/>
          <w:szCs w:val="24"/>
          <w:highlight w:val="none"/>
        </w:rPr>
        <w:t>项目概况</w:t>
      </w:r>
    </w:p>
    <w:p w14:paraId="7198DCBE">
      <w:pPr>
        <w:pBdr>
          <w:top w:val="single" w:color="auto" w:sz="4" w:space="1"/>
          <w:left w:val="single" w:color="auto" w:sz="4" w:space="4"/>
          <w:bottom w:val="single" w:color="auto" w:sz="4" w:space="1"/>
          <w:right w:val="single" w:color="auto" w:sz="4" w:space="4"/>
        </w:pBdr>
        <w:spacing w:line="520" w:lineRule="exact"/>
        <w:ind w:firstLine="480" w:firstLineChars="200"/>
        <w:rPr>
          <w:rFonts w:ascii="宋体" w:hAnsi="宋体"/>
          <w:sz w:val="24"/>
          <w:szCs w:val="24"/>
          <w:highlight w:val="none"/>
        </w:rPr>
      </w:pPr>
      <w:r>
        <w:rPr>
          <w:rFonts w:hint="eastAsia"/>
          <w:bCs/>
          <w:sz w:val="24"/>
          <w:highlight w:val="none"/>
          <w:u w:val="single"/>
          <w:lang w:eastAsia="zh-CN"/>
        </w:rPr>
        <w:t>江苏体彩传统终端机采购项目</w:t>
      </w:r>
      <w:r>
        <w:rPr>
          <w:rFonts w:hint="eastAsia" w:ascii="宋体" w:hAnsi="宋体"/>
          <w:sz w:val="24"/>
          <w:szCs w:val="24"/>
          <w:highlight w:val="none"/>
        </w:rPr>
        <w:t>的潜在供应商应在</w:t>
      </w:r>
      <w:r>
        <w:rPr>
          <w:rFonts w:hint="eastAsia" w:ascii="宋体" w:hAnsi="宋体"/>
          <w:sz w:val="24"/>
          <w:szCs w:val="24"/>
          <w:highlight w:val="none"/>
          <w:u w:val="single"/>
        </w:rPr>
        <w:t xml:space="preserve">“江苏政府采购网”自行下载 </w:t>
      </w:r>
      <w:r>
        <w:rPr>
          <w:rFonts w:hint="eastAsia" w:ascii="宋体" w:hAnsi="宋体"/>
          <w:sz w:val="24"/>
          <w:szCs w:val="24"/>
          <w:highlight w:val="none"/>
        </w:rPr>
        <w:t>获取招标文件，并于</w:t>
      </w:r>
      <w:r>
        <w:rPr>
          <w:rFonts w:hint="eastAsia" w:ascii="宋体" w:hAnsi="宋体"/>
          <w:sz w:val="24"/>
          <w:szCs w:val="24"/>
          <w:highlight w:val="none"/>
          <w:u w:val="single"/>
          <w:lang w:eastAsia="zh-CN"/>
        </w:rPr>
        <w:t>202</w:t>
      </w:r>
      <w:r>
        <w:rPr>
          <w:rFonts w:hint="eastAsia" w:ascii="宋体" w:hAnsi="宋体"/>
          <w:sz w:val="24"/>
          <w:szCs w:val="24"/>
          <w:highlight w:val="none"/>
          <w:u w:val="single"/>
          <w:lang w:val="en-US" w:eastAsia="zh-CN"/>
        </w:rPr>
        <w:t>6</w:t>
      </w:r>
      <w:r>
        <w:rPr>
          <w:rFonts w:hint="eastAsia" w:ascii="宋体" w:hAnsi="宋体"/>
          <w:sz w:val="24"/>
          <w:szCs w:val="24"/>
          <w:highlight w:val="none"/>
          <w:u w:val="single"/>
          <w:lang w:eastAsia="zh-CN"/>
        </w:rPr>
        <w:t>年</w:t>
      </w:r>
      <w:r>
        <w:rPr>
          <w:rFonts w:hint="eastAsia" w:ascii="宋体" w:hAnsi="宋体"/>
          <w:sz w:val="24"/>
          <w:szCs w:val="24"/>
          <w:highlight w:val="none"/>
          <w:u w:val="single"/>
          <w:lang w:val="en-US" w:eastAsia="zh-CN"/>
        </w:rPr>
        <w:t>4</w:t>
      </w:r>
      <w:r>
        <w:rPr>
          <w:rFonts w:hint="eastAsia" w:ascii="宋体" w:hAnsi="宋体"/>
          <w:sz w:val="24"/>
          <w:szCs w:val="24"/>
          <w:highlight w:val="none"/>
          <w:u w:val="single"/>
          <w:lang w:eastAsia="zh-CN"/>
        </w:rPr>
        <w:t>月</w:t>
      </w:r>
      <w:r>
        <w:rPr>
          <w:rFonts w:hint="eastAsia" w:ascii="宋体" w:hAnsi="宋体"/>
          <w:sz w:val="24"/>
          <w:szCs w:val="24"/>
          <w:highlight w:val="none"/>
          <w:u w:val="single"/>
          <w:lang w:val="en-US" w:eastAsia="zh-CN"/>
        </w:rPr>
        <w:t>17</w:t>
      </w:r>
      <w:r>
        <w:rPr>
          <w:rFonts w:hint="eastAsia" w:ascii="宋体" w:hAnsi="宋体"/>
          <w:sz w:val="24"/>
          <w:szCs w:val="24"/>
          <w:highlight w:val="none"/>
          <w:u w:val="single"/>
          <w:lang w:eastAsia="zh-CN"/>
        </w:rPr>
        <w:t>日</w:t>
      </w:r>
      <w:r>
        <w:rPr>
          <w:rFonts w:hint="eastAsia" w:ascii="宋体" w:hAnsi="宋体"/>
          <w:bCs/>
          <w:sz w:val="24"/>
          <w:szCs w:val="24"/>
          <w:highlight w:val="none"/>
          <w:u w:val="single"/>
        </w:rPr>
        <w:t>9点30分（</w:t>
      </w:r>
      <w:r>
        <w:rPr>
          <w:rFonts w:hint="eastAsia" w:ascii="宋体" w:hAnsi="宋体"/>
          <w:bCs/>
          <w:sz w:val="24"/>
          <w:szCs w:val="24"/>
          <w:highlight w:val="none"/>
        </w:rPr>
        <w:t>北京时间）前递交投标</w:t>
      </w:r>
      <w:r>
        <w:rPr>
          <w:rFonts w:ascii="宋体" w:hAnsi="宋体"/>
          <w:bCs/>
          <w:sz w:val="24"/>
          <w:szCs w:val="24"/>
          <w:highlight w:val="none"/>
        </w:rPr>
        <w:t>文件</w:t>
      </w:r>
      <w:r>
        <w:rPr>
          <w:rFonts w:hint="eastAsia" w:ascii="宋体" w:hAnsi="宋体"/>
          <w:sz w:val="24"/>
          <w:szCs w:val="24"/>
          <w:highlight w:val="none"/>
        </w:rPr>
        <w:t>。</w:t>
      </w:r>
    </w:p>
    <w:p w14:paraId="0C70F553">
      <w:pPr>
        <w:spacing w:line="520" w:lineRule="exact"/>
        <w:ind w:firstLine="482" w:firstLineChars="200"/>
        <w:rPr>
          <w:b/>
          <w:bCs/>
          <w:sz w:val="24"/>
          <w:highlight w:val="none"/>
        </w:rPr>
      </w:pPr>
      <w:bookmarkStart w:id="18" w:name="_Toc35393621"/>
      <w:bookmarkStart w:id="19" w:name="_Toc28359002"/>
      <w:bookmarkStart w:id="20" w:name="_Toc28359079"/>
      <w:bookmarkStart w:id="21" w:name="_Toc35393790"/>
      <w:bookmarkStart w:id="22" w:name="_Hlk24379207"/>
      <w:r>
        <w:rPr>
          <w:rFonts w:hint="eastAsia"/>
          <w:b/>
          <w:bCs/>
          <w:sz w:val="24"/>
          <w:highlight w:val="none"/>
        </w:rPr>
        <w:t>一、项目基本情况</w:t>
      </w:r>
      <w:bookmarkEnd w:id="18"/>
      <w:bookmarkEnd w:id="19"/>
      <w:bookmarkEnd w:id="20"/>
      <w:bookmarkEnd w:id="21"/>
    </w:p>
    <w:p w14:paraId="0819F098">
      <w:pPr>
        <w:spacing w:line="520" w:lineRule="exact"/>
        <w:ind w:firstLine="480" w:firstLineChars="200"/>
        <w:rPr>
          <w:rFonts w:hint="eastAsia" w:eastAsia="宋体"/>
          <w:bCs/>
          <w:sz w:val="24"/>
          <w:highlight w:val="none"/>
          <w:lang w:val="en-US" w:eastAsia="zh-CN"/>
        </w:rPr>
      </w:pPr>
      <w:r>
        <w:rPr>
          <w:rFonts w:hint="eastAsia"/>
          <w:bCs/>
          <w:sz w:val="24"/>
          <w:highlight w:val="none"/>
        </w:rPr>
        <w:t>项目编号：</w:t>
      </w:r>
      <w:r>
        <w:rPr>
          <w:rFonts w:hint="eastAsia"/>
          <w:bCs/>
          <w:sz w:val="24"/>
          <w:highlight w:val="none"/>
          <w:lang w:eastAsia="zh-CN"/>
        </w:rPr>
        <w:t>JSZC-320000-STZB-G2026-0016（STZ-ZBGK26015）</w:t>
      </w:r>
    </w:p>
    <w:p w14:paraId="76B7DEED">
      <w:pPr>
        <w:spacing w:line="520" w:lineRule="exact"/>
        <w:ind w:firstLine="480" w:firstLineChars="200"/>
        <w:rPr>
          <w:bCs/>
          <w:sz w:val="24"/>
          <w:highlight w:val="none"/>
        </w:rPr>
      </w:pPr>
      <w:r>
        <w:rPr>
          <w:rFonts w:hint="eastAsia"/>
          <w:bCs/>
          <w:sz w:val="24"/>
          <w:highlight w:val="none"/>
        </w:rPr>
        <w:t>项目名称：</w:t>
      </w:r>
      <w:r>
        <w:rPr>
          <w:rFonts w:hint="eastAsia"/>
          <w:bCs/>
          <w:sz w:val="24"/>
          <w:highlight w:val="none"/>
          <w:lang w:eastAsia="zh-CN"/>
        </w:rPr>
        <w:t>江苏体彩传统终端机采购项目</w:t>
      </w:r>
    </w:p>
    <w:bookmarkEnd w:id="22"/>
    <w:p w14:paraId="74DC0071">
      <w:pPr>
        <w:spacing w:line="520" w:lineRule="exact"/>
        <w:ind w:firstLine="480" w:firstLineChars="200"/>
        <w:rPr>
          <w:rFonts w:hint="eastAsia"/>
          <w:bCs/>
          <w:sz w:val="24"/>
          <w:highlight w:val="none"/>
        </w:rPr>
      </w:pPr>
      <w:r>
        <w:rPr>
          <w:rFonts w:hint="eastAsia"/>
          <w:bCs/>
          <w:sz w:val="24"/>
          <w:highlight w:val="none"/>
        </w:rPr>
        <w:t>预算金额：</w:t>
      </w:r>
      <w:r>
        <w:rPr>
          <w:rFonts w:hint="eastAsia" w:ascii="Times New Roman" w:hAnsi="Times New Roman" w:eastAsia="宋体" w:cs="Times New Roman"/>
          <w:bCs/>
          <w:sz w:val="24"/>
          <w:highlight w:val="none"/>
          <w:lang w:val="en-US" w:eastAsia="zh-CN"/>
        </w:rPr>
        <w:t>5312</w:t>
      </w:r>
      <w:r>
        <w:rPr>
          <w:rFonts w:hint="default" w:ascii="Times New Roman" w:hAnsi="Times New Roman" w:eastAsia="宋体" w:cs="Times New Roman"/>
          <w:bCs/>
          <w:sz w:val="24"/>
          <w:highlight w:val="none"/>
          <w:lang w:val="en-US" w:eastAsia="zh-CN"/>
        </w:rPr>
        <w:t> 万元</w:t>
      </w:r>
      <w:r>
        <w:rPr>
          <w:rFonts w:hint="eastAsia" w:ascii="Times New Roman" w:hAnsi="Times New Roman" w:eastAsia="宋体" w:cs="Times New Roman"/>
          <w:bCs/>
          <w:sz w:val="24"/>
          <w:highlight w:val="none"/>
          <w:lang w:val="en-US" w:eastAsia="zh-CN"/>
        </w:rPr>
        <w:t>。</w:t>
      </w:r>
    </w:p>
    <w:p w14:paraId="0C2663A1">
      <w:pPr>
        <w:spacing w:line="520" w:lineRule="exact"/>
        <w:ind w:firstLine="480" w:firstLineChars="200"/>
        <w:rPr>
          <w:rFonts w:hint="default" w:eastAsia="宋体"/>
          <w:bCs/>
          <w:sz w:val="24"/>
          <w:highlight w:val="none"/>
          <w:lang w:val="en-US" w:eastAsia="zh-CN"/>
        </w:rPr>
      </w:pPr>
      <w:r>
        <w:rPr>
          <w:rFonts w:hint="eastAsia"/>
          <w:bCs/>
          <w:sz w:val="24"/>
          <w:highlight w:val="none"/>
          <w:lang w:val="en-US" w:eastAsia="zh-CN"/>
        </w:rPr>
        <w:t>最高限价：12800元/台。</w:t>
      </w:r>
    </w:p>
    <w:p w14:paraId="420D4626">
      <w:pPr>
        <w:spacing w:line="530" w:lineRule="exact"/>
        <w:ind w:firstLine="480" w:firstLineChars="200"/>
        <w:rPr>
          <w:rFonts w:hint="eastAsia"/>
          <w:bCs/>
          <w:sz w:val="24"/>
          <w:highlight w:val="none"/>
        </w:rPr>
      </w:pPr>
      <w:r>
        <w:rPr>
          <w:rFonts w:hint="eastAsia"/>
          <w:bCs/>
          <w:sz w:val="24"/>
          <w:highlight w:val="none"/>
        </w:rPr>
        <w:t>采购需求：拟采购</w:t>
      </w:r>
      <w:r>
        <w:rPr>
          <w:rFonts w:hint="eastAsia"/>
          <w:bCs/>
          <w:sz w:val="24"/>
          <w:highlight w:val="none"/>
          <w:lang w:eastAsia="zh-CN"/>
        </w:rPr>
        <w:t>传统终端机</w:t>
      </w:r>
      <w:r>
        <w:rPr>
          <w:rFonts w:hint="eastAsia"/>
          <w:bCs/>
          <w:sz w:val="24"/>
          <w:highlight w:val="none"/>
          <w:lang w:val="en-US" w:eastAsia="zh-CN"/>
        </w:rPr>
        <w:t>4150</w:t>
      </w:r>
      <w:r>
        <w:rPr>
          <w:rFonts w:hint="eastAsia"/>
          <w:bCs/>
          <w:sz w:val="24"/>
          <w:highlight w:val="none"/>
        </w:rPr>
        <w:t>台，其中</w:t>
      </w:r>
      <w:r>
        <w:rPr>
          <w:rFonts w:hint="eastAsia"/>
          <w:bCs/>
          <w:sz w:val="24"/>
          <w:highlight w:val="none"/>
          <w:lang w:val="en-US" w:eastAsia="zh-CN"/>
        </w:rPr>
        <w:t>第一中标人供货2500</w:t>
      </w:r>
      <w:r>
        <w:rPr>
          <w:rFonts w:hint="eastAsia"/>
          <w:bCs/>
          <w:sz w:val="24"/>
          <w:highlight w:val="none"/>
        </w:rPr>
        <w:t>台，</w:t>
      </w:r>
      <w:r>
        <w:rPr>
          <w:rFonts w:hint="eastAsia"/>
          <w:bCs/>
          <w:sz w:val="24"/>
          <w:highlight w:val="none"/>
          <w:lang w:val="en-US" w:eastAsia="zh-CN"/>
        </w:rPr>
        <w:t>第二中标人供货1650</w:t>
      </w:r>
      <w:r>
        <w:rPr>
          <w:rFonts w:hint="eastAsia"/>
          <w:bCs/>
          <w:sz w:val="24"/>
          <w:highlight w:val="none"/>
        </w:rPr>
        <w:t>台。</w:t>
      </w:r>
    </w:p>
    <w:p w14:paraId="5EF81375">
      <w:pPr>
        <w:spacing w:line="530" w:lineRule="exact"/>
        <w:ind w:firstLine="480" w:firstLineChars="200"/>
        <w:rPr>
          <w:rFonts w:hint="eastAsia" w:ascii="Times New Roman" w:hAnsi="Times New Roman" w:eastAsia="宋体" w:cs="Times New Roman"/>
          <w:sz w:val="24"/>
          <w:highlight w:val="none"/>
          <w:lang w:val="en-US" w:eastAsia="zh-CN"/>
        </w:rPr>
      </w:pPr>
      <w:r>
        <w:rPr>
          <w:rFonts w:hint="eastAsia"/>
          <w:bCs/>
          <w:sz w:val="24"/>
          <w:highlight w:val="none"/>
        </w:rPr>
        <w:t>本项目确定中标供应商</w:t>
      </w:r>
      <w:r>
        <w:rPr>
          <w:rFonts w:hint="eastAsia"/>
          <w:bCs/>
          <w:sz w:val="24"/>
          <w:highlight w:val="none"/>
          <w:lang w:val="en-US" w:eastAsia="zh-CN"/>
        </w:rPr>
        <w:t>的方法为：</w:t>
      </w:r>
      <w:r>
        <w:rPr>
          <w:rFonts w:hint="eastAsia" w:ascii="Times New Roman" w:hAnsi="Times New Roman" w:eastAsia="宋体" w:cs="Times New Roman"/>
          <w:sz w:val="24"/>
          <w:highlight w:val="none"/>
          <w:lang w:val="en-US" w:eastAsia="zh-CN"/>
        </w:rPr>
        <w:t>当有效</w:t>
      </w:r>
      <w:r>
        <w:rPr>
          <w:rFonts w:hint="eastAsia" w:ascii="Times New Roman" w:hAnsi="Times New Roman" w:eastAsia="宋体" w:cs="Times New Roman"/>
          <w:sz w:val="24"/>
          <w:highlight w:val="none"/>
        </w:rPr>
        <w:t>供应商</w:t>
      </w:r>
      <w:r>
        <w:rPr>
          <w:rFonts w:hint="eastAsia" w:ascii="Times New Roman" w:hAnsi="Times New Roman" w:eastAsia="宋体" w:cs="Times New Roman"/>
          <w:sz w:val="24"/>
          <w:highlight w:val="none"/>
          <w:lang w:val="en-US" w:eastAsia="zh-CN"/>
        </w:rPr>
        <w:t>数量大于等于4家时，按照综合评分从高到低确认2名</w:t>
      </w:r>
      <w:r>
        <w:rPr>
          <w:rFonts w:hint="eastAsia"/>
          <w:sz w:val="24"/>
          <w:highlight w:val="none"/>
        </w:rPr>
        <w:t>中标候选人</w:t>
      </w:r>
      <w:r>
        <w:rPr>
          <w:rFonts w:hint="eastAsia"/>
          <w:sz w:val="24"/>
          <w:highlight w:val="none"/>
          <w:lang w:eastAsia="zh-CN"/>
        </w:rPr>
        <w:t>；</w:t>
      </w:r>
      <w:r>
        <w:rPr>
          <w:rFonts w:hint="eastAsia" w:ascii="Times New Roman" w:hAnsi="Times New Roman" w:eastAsia="宋体" w:cs="Times New Roman"/>
          <w:sz w:val="24"/>
          <w:highlight w:val="none"/>
          <w:lang w:val="en-US" w:eastAsia="zh-CN"/>
        </w:rPr>
        <w:t>当有效</w:t>
      </w:r>
      <w:r>
        <w:rPr>
          <w:rFonts w:hint="eastAsia" w:ascii="Times New Roman" w:hAnsi="Times New Roman" w:eastAsia="宋体" w:cs="Times New Roman"/>
          <w:sz w:val="24"/>
          <w:highlight w:val="none"/>
        </w:rPr>
        <w:t>供应商</w:t>
      </w:r>
      <w:r>
        <w:rPr>
          <w:rFonts w:hint="eastAsia" w:ascii="Times New Roman" w:hAnsi="Times New Roman" w:eastAsia="宋体" w:cs="Times New Roman"/>
          <w:sz w:val="24"/>
          <w:highlight w:val="none"/>
          <w:lang w:val="en-US" w:eastAsia="zh-CN"/>
        </w:rPr>
        <w:t>数量不足4家时，废标重招。</w:t>
      </w:r>
    </w:p>
    <w:p w14:paraId="5885EE7E">
      <w:pPr>
        <w:spacing w:line="530" w:lineRule="exact"/>
        <w:ind w:firstLine="480" w:firstLineChars="200"/>
        <w:rPr>
          <w:rFonts w:hint="eastAsia"/>
          <w:bCs/>
          <w:sz w:val="24"/>
          <w:highlight w:val="none"/>
        </w:rPr>
      </w:pPr>
      <w:r>
        <w:rPr>
          <w:rFonts w:hint="eastAsia"/>
          <w:bCs/>
          <w:sz w:val="24"/>
          <w:highlight w:val="none"/>
        </w:rPr>
        <w:t>第一中标候选人</w:t>
      </w:r>
      <w:r>
        <w:rPr>
          <w:rFonts w:hint="eastAsia" w:ascii="Times New Roman" w:hAnsi="Times New Roman"/>
          <w:sz w:val="24"/>
          <w:highlight w:val="none"/>
          <w:lang w:val="en-US" w:eastAsia="zh-CN"/>
        </w:rPr>
        <w:t>供货</w:t>
      </w:r>
      <w:r>
        <w:rPr>
          <w:rFonts w:hint="eastAsia"/>
          <w:bCs/>
          <w:sz w:val="24"/>
          <w:highlight w:val="none"/>
        </w:rPr>
        <w:t>数量</w:t>
      </w:r>
      <w:r>
        <w:rPr>
          <w:rFonts w:hint="eastAsia"/>
          <w:bCs/>
          <w:sz w:val="24"/>
          <w:highlight w:val="none"/>
          <w:lang w:val="en-US" w:eastAsia="zh-CN"/>
        </w:rPr>
        <w:t>2500台</w:t>
      </w:r>
      <w:r>
        <w:rPr>
          <w:rFonts w:hint="eastAsia"/>
          <w:bCs/>
          <w:sz w:val="24"/>
          <w:highlight w:val="none"/>
        </w:rPr>
        <w:t>；第二中标候选人</w:t>
      </w:r>
      <w:r>
        <w:rPr>
          <w:rFonts w:hint="eastAsia" w:ascii="Times New Roman" w:hAnsi="Times New Roman"/>
          <w:sz w:val="24"/>
          <w:highlight w:val="none"/>
          <w:lang w:val="en-US" w:eastAsia="zh-CN"/>
        </w:rPr>
        <w:t>供货</w:t>
      </w:r>
      <w:r>
        <w:rPr>
          <w:rFonts w:hint="eastAsia"/>
          <w:bCs/>
          <w:sz w:val="24"/>
          <w:highlight w:val="none"/>
        </w:rPr>
        <w:t>数量</w:t>
      </w:r>
      <w:r>
        <w:rPr>
          <w:rFonts w:hint="eastAsia"/>
          <w:bCs/>
          <w:sz w:val="24"/>
          <w:highlight w:val="none"/>
          <w:lang w:val="en-US" w:eastAsia="zh-CN"/>
        </w:rPr>
        <w:t>1650台。</w:t>
      </w:r>
    </w:p>
    <w:p w14:paraId="429734EA">
      <w:pPr>
        <w:spacing w:line="530" w:lineRule="exact"/>
        <w:ind w:firstLine="480" w:firstLineChars="200"/>
        <w:rPr>
          <w:bCs/>
          <w:sz w:val="24"/>
          <w:highlight w:val="none"/>
        </w:rPr>
      </w:pPr>
      <w:r>
        <w:rPr>
          <w:bCs/>
          <w:sz w:val="24"/>
          <w:highlight w:val="none"/>
        </w:rPr>
        <w:t>具体内容详见招标文件第四章“项目需求”。</w:t>
      </w:r>
    </w:p>
    <w:p w14:paraId="3C37B45B">
      <w:pPr>
        <w:spacing w:line="520" w:lineRule="exact"/>
        <w:ind w:firstLine="480"/>
        <w:rPr>
          <w:sz w:val="24"/>
          <w:highlight w:val="none"/>
        </w:rPr>
      </w:pPr>
      <w:r>
        <w:rPr>
          <w:rFonts w:hint="eastAsia"/>
          <w:bCs/>
          <w:sz w:val="24"/>
          <w:highlight w:val="none"/>
        </w:rPr>
        <w:t>合同履行期限：</w:t>
      </w:r>
      <w:r>
        <w:rPr>
          <w:rFonts w:hint="eastAsia" w:ascii="Times New Roman" w:hAnsi="Times New Roman"/>
          <w:bCs/>
          <w:sz w:val="24"/>
          <w:szCs w:val="22"/>
          <w:highlight w:val="none"/>
        </w:rPr>
        <w:t>合同签订后</w:t>
      </w:r>
      <w:r>
        <w:rPr>
          <w:rFonts w:ascii="Times New Roman" w:hAnsi="Times New Roman"/>
          <w:bCs/>
          <w:sz w:val="24"/>
          <w:szCs w:val="22"/>
          <w:highlight w:val="none"/>
        </w:rPr>
        <w:t>45</w:t>
      </w:r>
      <w:r>
        <w:rPr>
          <w:rFonts w:hint="eastAsia" w:ascii="Times New Roman" w:hAnsi="Times New Roman"/>
          <w:bCs/>
          <w:sz w:val="24"/>
          <w:szCs w:val="22"/>
          <w:highlight w:val="none"/>
        </w:rPr>
        <w:t>天内完成。</w:t>
      </w:r>
    </w:p>
    <w:p w14:paraId="2D5EEBD2">
      <w:pPr>
        <w:spacing w:line="520" w:lineRule="exact"/>
        <w:ind w:firstLine="480" w:firstLineChars="200"/>
        <w:rPr>
          <w:bCs/>
          <w:sz w:val="24"/>
          <w:highlight w:val="none"/>
        </w:rPr>
      </w:pPr>
      <w:r>
        <w:rPr>
          <w:sz w:val="24"/>
          <w:highlight w:val="none"/>
        </w:rPr>
        <w:t>本项目不接受供应商使用进口产品参与投标。</w:t>
      </w:r>
    </w:p>
    <w:p w14:paraId="07C5DE74">
      <w:pPr>
        <w:spacing w:line="520" w:lineRule="exact"/>
        <w:ind w:firstLine="480" w:firstLineChars="200"/>
        <w:rPr>
          <w:rFonts w:hint="eastAsia"/>
          <w:bCs/>
          <w:sz w:val="24"/>
          <w:highlight w:val="none"/>
        </w:rPr>
      </w:pPr>
      <w:r>
        <w:rPr>
          <w:rFonts w:hint="eastAsia"/>
          <w:bCs/>
          <w:sz w:val="24"/>
          <w:highlight w:val="none"/>
        </w:rPr>
        <w:t>本项目不接受联合体</w:t>
      </w:r>
      <w:r>
        <w:rPr>
          <w:sz w:val="24"/>
          <w:highlight w:val="none"/>
        </w:rPr>
        <w:t>参与投标</w:t>
      </w:r>
      <w:r>
        <w:rPr>
          <w:rFonts w:hint="eastAsia"/>
          <w:bCs/>
          <w:sz w:val="24"/>
          <w:highlight w:val="none"/>
        </w:rPr>
        <w:t>。</w:t>
      </w:r>
    </w:p>
    <w:p w14:paraId="57B12205">
      <w:pPr>
        <w:spacing w:line="520" w:lineRule="exact"/>
        <w:ind w:firstLine="480" w:firstLineChars="200"/>
        <w:rPr>
          <w:rFonts w:hint="eastAsia"/>
          <w:bCs/>
          <w:sz w:val="24"/>
          <w:highlight w:val="none"/>
        </w:rPr>
      </w:pPr>
      <w:r>
        <w:rPr>
          <w:rFonts w:hint="eastAsia"/>
          <w:bCs/>
          <w:sz w:val="24"/>
          <w:highlight w:val="none"/>
        </w:rPr>
        <w:t>本项目专门面向中小微企业采购。</w:t>
      </w:r>
    </w:p>
    <w:p w14:paraId="5B88CB2B">
      <w:pPr>
        <w:spacing w:line="520" w:lineRule="exact"/>
        <w:ind w:firstLine="482" w:firstLineChars="200"/>
        <w:rPr>
          <w:b/>
          <w:bCs/>
          <w:sz w:val="24"/>
          <w:highlight w:val="none"/>
        </w:rPr>
      </w:pPr>
      <w:bookmarkStart w:id="23" w:name="_Toc35393622"/>
      <w:bookmarkStart w:id="24" w:name="_Toc28359080"/>
      <w:bookmarkStart w:id="25" w:name="_Toc35393791"/>
      <w:bookmarkStart w:id="26" w:name="_Toc28359003"/>
      <w:r>
        <w:rPr>
          <w:rFonts w:hint="eastAsia"/>
          <w:b/>
          <w:bCs/>
          <w:sz w:val="24"/>
          <w:highlight w:val="none"/>
        </w:rPr>
        <w:t>二、申请人的资格要求：</w:t>
      </w:r>
      <w:bookmarkEnd w:id="23"/>
      <w:bookmarkEnd w:id="24"/>
      <w:bookmarkEnd w:id="25"/>
      <w:bookmarkEnd w:id="26"/>
    </w:p>
    <w:p w14:paraId="1FC9FCD8">
      <w:pPr>
        <w:spacing w:line="520" w:lineRule="exact"/>
        <w:ind w:firstLine="480" w:firstLineChars="200"/>
        <w:rPr>
          <w:bCs/>
          <w:sz w:val="24"/>
          <w:highlight w:val="none"/>
        </w:rPr>
      </w:pPr>
      <w:r>
        <w:rPr>
          <w:rFonts w:hint="eastAsia"/>
          <w:bCs/>
          <w:sz w:val="24"/>
          <w:highlight w:val="none"/>
        </w:rPr>
        <w:t>1. 满足《中华人民共和国政府采购法》第二十二条规定</w:t>
      </w:r>
      <w:r>
        <w:rPr>
          <w:bCs/>
          <w:sz w:val="24"/>
          <w:highlight w:val="none"/>
        </w:rPr>
        <w:t>，并提供下列材料：</w:t>
      </w:r>
    </w:p>
    <w:p w14:paraId="6E4263DB">
      <w:pPr>
        <w:spacing w:line="520" w:lineRule="exact"/>
        <w:ind w:firstLine="480" w:firstLineChars="200"/>
        <w:rPr>
          <w:bCs/>
          <w:sz w:val="24"/>
          <w:highlight w:val="none"/>
        </w:rPr>
      </w:pPr>
      <w:r>
        <w:rPr>
          <w:rFonts w:hint="eastAsia"/>
          <w:bCs/>
          <w:sz w:val="24"/>
          <w:highlight w:val="none"/>
        </w:rPr>
        <w:t xml:space="preserve">1.1 </w:t>
      </w:r>
      <w:r>
        <w:rPr>
          <w:sz w:val="24"/>
          <w:szCs w:val="24"/>
          <w:highlight w:val="none"/>
        </w:rPr>
        <w:t>法人或者其他组织的营业执照等证明文件</w:t>
      </w:r>
      <w:r>
        <w:rPr>
          <w:rStyle w:val="87"/>
          <w:kern w:val="0"/>
          <w:sz w:val="24"/>
          <w:szCs w:val="24"/>
          <w:highlight w:val="none"/>
        </w:rPr>
        <w:t>，自然人的身份证明</w:t>
      </w:r>
      <w:r>
        <w:rPr>
          <w:sz w:val="24"/>
          <w:szCs w:val="24"/>
          <w:highlight w:val="none"/>
        </w:rPr>
        <w:t>；</w:t>
      </w:r>
    </w:p>
    <w:p w14:paraId="62DF234A">
      <w:pPr>
        <w:spacing w:line="520" w:lineRule="exact"/>
        <w:ind w:firstLine="480" w:firstLineChars="200"/>
        <w:rPr>
          <w:bCs/>
          <w:sz w:val="24"/>
          <w:highlight w:val="none"/>
        </w:rPr>
      </w:pPr>
      <w:r>
        <w:rPr>
          <w:rFonts w:hint="eastAsia"/>
          <w:bCs/>
          <w:sz w:val="24"/>
          <w:highlight w:val="none"/>
        </w:rPr>
        <w:t xml:space="preserve">1.2 </w:t>
      </w:r>
      <w:r>
        <w:rPr>
          <w:rFonts w:hint="eastAsia"/>
          <w:bCs/>
          <w:sz w:val="24"/>
          <w:highlight w:val="none"/>
          <w:lang w:eastAsia="zh-CN"/>
        </w:rPr>
        <w:t>202</w:t>
      </w:r>
      <w:r>
        <w:rPr>
          <w:rFonts w:hint="eastAsia"/>
          <w:bCs/>
          <w:sz w:val="24"/>
          <w:highlight w:val="none"/>
          <w:lang w:val="en-US" w:eastAsia="zh-CN"/>
        </w:rPr>
        <w:t>5</w:t>
      </w:r>
      <w:r>
        <w:rPr>
          <w:rFonts w:hint="eastAsia"/>
          <w:bCs/>
          <w:sz w:val="24"/>
          <w:highlight w:val="none"/>
          <w:lang w:eastAsia="zh-CN"/>
        </w:rPr>
        <w:t>或202</w:t>
      </w:r>
      <w:r>
        <w:rPr>
          <w:rFonts w:hint="eastAsia"/>
          <w:bCs/>
          <w:sz w:val="24"/>
          <w:highlight w:val="none"/>
          <w:lang w:val="en-US" w:eastAsia="zh-CN"/>
        </w:rPr>
        <w:t>4</w:t>
      </w:r>
      <w:r>
        <w:rPr>
          <w:rFonts w:hint="eastAsia"/>
          <w:bCs/>
          <w:sz w:val="24"/>
          <w:highlight w:val="none"/>
          <w:lang w:eastAsia="zh-CN"/>
        </w:rPr>
        <w:t>年度</w:t>
      </w:r>
      <w:r>
        <w:rPr>
          <w:bCs/>
          <w:sz w:val="24"/>
          <w:highlight w:val="none"/>
        </w:rPr>
        <w:t>的财务状况报告（成立不满一年不需提供）；</w:t>
      </w:r>
    </w:p>
    <w:p w14:paraId="7E40001F">
      <w:pPr>
        <w:spacing w:line="520" w:lineRule="exact"/>
        <w:ind w:firstLine="480" w:firstLineChars="200"/>
        <w:rPr>
          <w:bCs/>
          <w:sz w:val="24"/>
          <w:highlight w:val="none"/>
        </w:rPr>
      </w:pPr>
      <w:r>
        <w:rPr>
          <w:rFonts w:hint="eastAsia"/>
          <w:bCs/>
          <w:sz w:val="24"/>
          <w:highlight w:val="none"/>
        </w:rPr>
        <w:t xml:space="preserve">1.3 </w:t>
      </w:r>
      <w:r>
        <w:rPr>
          <w:bCs/>
          <w:sz w:val="24"/>
          <w:highlight w:val="none"/>
        </w:rPr>
        <w:t>依法缴纳税收和社会保障资金的相关材料；</w:t>
      </w:r>
    </w:p>
    <w:p w14:paraId="7F3F48B1">
      <w:pPr>
        <w:spacing w:line="520" w:lineRule="exact"/>
        <w:ind w:firstLine="480" w:firstLineChars="200"/>
        <w:rPr>
          <w:bCs/>
          <w:color w:val="FF0000"/>
          <w:sz w:val="24"/>
          <w:highlight w:val="none"/>
        </w:rPr>
      </w:pPr>
      <w:r>
        <w:rPr>
          <w:rFonts w:hint="eastAsia"/>
          <w:bCs/>
          <w:sz w:val="24"/>
          <w:highlight w:val="none"/>
        </w:rPr>
        <w:t xml:space="preserve">1.4 </w:t>
      </w:r>
      <w:r>
        <w:rPr>
          <w:bCs/>
          <w:sz w:val="24"/>
          <w:highlight w:val="none"/>
        </w:rPr>
        <w:t>具有履行合同所必需的设备和专业技术能力的</w:t>
      </w:r>
      <w:r>
        <w:rPr>
          <w:sz w:val="24"/>
          <w:szCs w:val="24"/>
          <w:highlight w:val="none"/>
        </w:rPr>
        <w:t>书面声明；</w:t>
      </w:r>
    </w:p>
    <w:p w14:paraId="1042F23B">
      <w:pPr>
        <w:spacing w:line="520" w:lineRule="exact"/>
        <w:ind w:firstLine="480" w:firstLineChars="200"/>
        <w:rPr>
          <w:bCs/>
          <w:sz w:val="24"/>
          <w:highlight w:val="none"/>
        </w:rPr>
      </w:pPr>
      <w:r>
        <w:rPr>
          <w:rFonts w:hint="eastAsia"/>
          <w:bCs/>
          <w:sz w:val="24"/>
          <w:highlight w:val="none"/>
        </w:rPr>
        <w:t>1.5</w:t>
      </w:r>
      <w:r>
        <w:rPr>
          <w:bCs/>
          <w:sz w:val="24"/>
          <w:highlight w:val="none"/>
        </w:rPr>
        <w:t>参加政府采购活动前3年内在经营活动中没有重大违法记录的书面声明；</w:t>
      </w:r>
    </w:p>
    <w:p w14:paraId="0B576292">
      <w:pPr>
        <w:spacing w:line="520" w:lineRule="exact"/>
        <w:ind w:firstLine="480" w:firstLineChars="200"/>
        <w:rPr>
          <w:bCs/>
          <w:sz w:val="24"/>
          <w:highlight w:val="none"/>
        </w:rPr>
      </w:pPr>
      <w:r>
        <w:rPr>
          <w:rFonts w:hint="eastAsia"/>
          <w:bCs/>
          <w:sz w:val="24"/>
          <w:highlight w:val="none"/>
        </w:rPr>
        <w:t xml:space="preserve">1.6 </w:t>
      </w:r>
      <w:r>
        <w:rPr>
          <w:bCs/>
          <w:sz w:val="24"/>
          <w:highlight w:val="none"/>
        </w:rPr>
        <w:t>单位负责人为同一人或者存在直接控股、管理关系的不同供应商，不得参加同一项目的政府采购活动；</w:t>
      </w:r>
    </w:p>
    <w:p w14:paraId="31BFB717">
      <w:pPr>
        <w:spacing w:line="520" w:lineRule="exact"/>
        <w:ind w:firstLine="480" w:firstLineChars="200"/>
        <w:rPr>
          <w:bCs/>
          <w:sz w:val="24"/>
          <w:highlight w:val="none"/>
        </w:rPr>
      </w:pPr>
      <w:r>
        <w:rPr>
          <w:rFonts w:hint="eastAsia"/>
          <w:bCs/>
          <w:sz w:val="24"/>
          <w:highlight w:val="none"/>
        </w:rPr>
        <w:t>1.7</w:t>
      </w:r>
      <w:r>
        <w:rPr>
          <w:rFonts w:hint="eastAsia" w:ascii="宋体" w:hAnsi="宋体"/>
          <w:sz w:val="24"/>
          <w:szCs w:val="24"/>
          <w:highlight w:val="none"/>
        </w:rPr>
        <w:t>本项目投标文件提交截止日前</w:t>
      </w:r>
      <w:r>
        <w:rPr>
          <w:bCs/>
          <w:sz w:val="24"/>
          <w:highlight w:val="none"/>
        </w:rPr>
        <w:t>未被“信用中国”</w:t>
      </w:r>
      <w:r>
        <w:rPr>
          <w:rFonts w:hint="eastAsia"/>
          <w:bCs/>
          <w:sz w:val="24"/>
          <w:highlight w:val="none"/>
        </w:rPr>
        <w:t>、“中国政府采购网”</w:t>
      </w:r>
      <w:r>
        <w:rPr>
          <w:bCs/>
          <w:sz w:val="24"/>
          <w:highlight w:val="none"/>
        </w:rPr>
        <w:t>列入失信被执行人、重大税收违法案件当事人名单、政府采购严重失信行为记录名单</w:t>
      </w:r>
      <w:r>
        <w:rPr>
          <w:rFonts w:hint="eastAsia" w:ascii="宋体" w:hAnsi="宋体"/>
          <w:sz w:val="24"/>
          <w:szCs w:val="24"/>
          <w:highlight w:val="none"/>
        </w:rPr>
        <w:t>及未发现存在不符合《中华人民共和国政府采购法》第二十二条规定条件的情形。投标文件中无需提供证明材料。</w:t>
      </w:r>
    </w:p>
    <w:p w14:paraId="17AE4765">
      <w:pPr>
        <w:spacing w:line="520" w:lineRule="exact"/>
        <w:ind w:firstLine="480" w:firstLineChars="200"/>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rPr>
        <w:t>2.落实政府采购政策需满足的资格要求：</w:t>
      </w:r>
      <w:r>
        <w:rPr>
          <w:rFonts w:hint="eastAsia" w:ascii="Times New Roman" w:hAnsi="Times New Roman" w:eastAsia="宋体" w:cs="Times New Roman"/>
          <w:bCs/>
          <w:sz w:val="24"/>
          <w:highlight w:val="none"/>
          <w:lang w:val="en-US" w:eastAsia="zh-CN"/>
        </w:rPr>
        <w:t>投标企业必须为符合《中小企业划型标准规定》（工信部联企业〔2011〕300号文）划分的</w:t>
      </w:r>
      <w:r>
        <w:rPr>
          <w:rFonts w:hint="eastAsia" w:ascii="Times New Roman" w:hAnsi="Times New Roman" w:eastAsia="宋体" w:cs="Times New Roman"/>
          <w:bCs/>
          <w:sz w:val="24"/>
          <w:highlight w:val="none"/>
        </w:rPr>
        <w:t>中小微企业</w:t>
      </w:r>
      <w:r>
        <w:rPr>
          <w:rFonts w:hint="eastAsia" w:ascii="Times New Roman" w:hAnsi="Times New Roman" w:eastAsia="宋体" w:cs="Times New Roman"/>
          <w:bCs/>
          <w:sz w:val="24"/>
          <w:highlight w:val="none"/>
          <w:lang w:eastAsia="zh-CN"/>
        </w:rPr>
        <w:t>（</w:t>
      </w:r>
      <w:r>
        <w:rPr>
          <w:rFonts w:hint="eastAsia" w:ascii="Times New Roman" w:hAnsi="Times New Roman" w:eastAsia="宋体" w:cs="Times New Roman"/>
          <w:bCs/>
          <w:sz w:val="24"/>
          <w:highlight w:val="none"/>
          <w:lang w:val="en-US" w:eastAsia="zh-CN"/>
        </w:rPr>
        <w:t>监狱企业、残疾人福利性单位视同小微企业</w:t>
      </w:r>
      <w:r>
        <w:rPr>
          <w:rFonts w:hint="eastAsia" w:ascii="Times New Roman" w:hAnsi="Times New Roman" w:eastAsia="宋体" w:cs="Times New Roman"/>
          <w:bCs/>
          <w:sz w:val="24"/>
          <w:highlight w:val="none"/>
          <w:lang w:eastAsia="zh-CN"/>
        </w:rPr>
        <w:t>）</w:t>
      </w:r>
      <w:r>
        <w:rPr>
          <w:rFonts w:hint="eastAsia" w:ascii="Times New Roman" w:hAnsi="Times New Roman" w:eastAsia="宋体" w:cs="Times New Roman"/>
          <w:bCs/>
          <w:sz w:val="24"/>
          <w:highlight w:val="none"/>
        </w:rPr>
        <w:t>。</w:t>
      </w:r>
    </w:p>
    <w:p w14:paraId="5F9A1998">
      <w:pPr>
        <w:spacing w:line="520" w:lineRule="exact"/>
        <w:ind w:firstLine="480" w:firstLineChars="200"/>
        <w:rPr>
          <w:rFonts w:hAnsi="宋体"/>
          <w:bCs/>
          <w:sz w:val="24"/>
          <w:highlight w:val="none"/>
        </w:rPr>
      </w:pPr>
      <w:r>
        <w:rPr>
          <w:rFonts w:hint="eastAsia"/>
          <w:bCs/>
          <w:sz w:val="24"/>
          <w:highlight w:val="none"/>
        </w:rPr>
        <w:t>3.本项目的特定资格要求：</w:t>
      </w:r>
      <w:r>
        <w:rPr>
          <w:rFonts w:hint="eastAsia"/>
          <w:bCs/>
          <w:sz w:val="24"/>
          <w:highlight w:val="none"/>
          <w:lang w:val="en-US" w:eastAsia="zh-CN"/>
        </w:rPr>
        <w:t>无</w:t>
      </w:r>
      <w:r>
        <w:rPr>
          <w:rFonts w:hint="eastAsia"/>
          <w:bCs/>
          <w:sz w:val="24"/>
          <w:highlight w:val="none"/>
        </w:rPr>
        <w:t>。</w:t>
      </w:r>
    </w:p>
    <w:p w14:paraId="42A8AB16">
      <w:pPr>
        <w:spacing w:line="520" w:lineRule="exact"/>
        <w:ind w:firstLine="482" w:firstLineChars="200"/>
        <w:rPr>
          <w:b/>
          <w:bCs/>
          <w:sz w:val="24"/>
          <w:highlight w:val="none"/>
        </w:rPr>
      </w:pPr>
      <w:bookmarkStart w:id="27" w:name="_Toc35393623"/>
      <w:bookmarkStart w:id="28" w:name="_Toc35393792"/>
      <w:r>
        <w:rPr>
          <w:rFonts w:hint="eastAsia"/>
          <w:b/>
          <w:bCs/>
          <w:sz w:val="24"/>
          <w:highlight w:val="none"/>
        </w:rPr>
        <w:t>三、获取招标文件</w:t>
      </w:r>
      <w:bookmarkEnd w:id="27"/>
      <w:bookmarkEnd w:id="28"/>
    </w:p>
    <w:p w14:paraId="09A617A9">
      <w:pPr>
        <w:spacing w:line="520" w:lineRule="exact"/>
        <w:ind w:firstLine="480" w:firstLineChars="200"/>
        <w:rPr>
          <w:bCs/>
          <w:sz w:val="24"/>
          <w:highlight w:val="none"/>
        </w:rPr>
      </w:pPr>
      <w:r>
        <w:rPr>
          <w:rFonts w:hint="eastAsia"/>
          <w:bCs/>
          <w:sz w:val="24"/>
          <w:highlight w:val="none"/>
        </w:rPr>
        <w:t>时间：</w:t>
      </w:r>
      <w:r>
        <w:rPr>
          <w:rFonts w:hint="eastAsia"/>
          <w:bCs/>
          <w:sz w:val="24"/>
          <w:highlight w:val="none"/>
          <w:u w:val="single"/>
        </w:rPr>
        <w:t>202</w:t>
      </w:r>
      <w:r>
        <w:rPr>
          <w:rFonts w:hint="eastAsia"/>
          <w:bCs/>
          <w:sz w:val="24"/>
          <w:highlight w:val="none"/>
          <w:u w:val="single"/>
          <w:lang w:val="en-US" w:eastAsia="zh-CN"/>
        </w:rPr>
        <w:t>6</w:t>
      </w:r>
      <w:r>
        <w:rPr>
          <w:rFonts w:hint="eastAsia"/>
          <w:bCs/>
          <w:sz w:val="24"/>
          <w:highlight w:val="none"/>
          <w:u w:val="single"/>
        </w:rPr>
        <w:t>年</w:t>
      </w:r>
      <w:r>
        <w:rPr>
          <w:rFonts w:hint="eastAsia"/>
          <w:bCs/>
          <w:sz w:val="24"/>
          <w:highlight w:val="none"/>
          <w:u w:val="single"/>
          <w:lang w:val="en-US" w:eastAsia="zh-CN"/>
        </w:rPr>
        <w:t>3</w:t>
      </w:r>
      <w:r>
        <w:rPr>
          <w:rFonts w:hint="eastAsia"/>
          <w:bCs/>
          <w:sz w:val="24"/>
          <w:highlight w:val="none"/>
          <w:u w:val="single"/>
        </w:rPr>
        <w:t>月</w:t>
      </w:r>
      <w:r>
        <w:rPr>
          <w:rFonts w:hint="eastAsia"/>
          <w:bCs/>
          <w:sz w:val="24"/>
          <w:highlight w:val="none"/>
          <w:u w:val="single"/>
          <w:lang w:val="en-US" w:eastAsia="zh-CN"/>
        </w:rPr>
        <w:t>28</w:t>
      </w:r>
      <w:r>
        <w:rPr>
          <w:rFonts w:hint="eastAsia"/>
          <w:bCs/>
          <w:sz w:val="24"/>
          <w:highlight w:val="none"/>
          <w:u w:val="single"/>
        </w:rPr>
        <w:t>日至202</w:t>
      </w:r>
      <w:r>
        <w:rPr>
          <w:rFonts w:hint="eastAsia"/>
          <w:bCs/>
          <w:sz w:val="24"/>
          <w:highlight w:val="none"/>
          <w:u w:val="single"/>
          <w:lang w:val="en-US" w:eastAsia="zh-CN"/>
        </w:rPr>
        <w:t>6</w:t>
      </w:r>
      <w:r>
        <w:rPr>
          <w:rFonts w:hint="eastAsia"/>
          <w:bCs/>
          <w:sz w:val="24"/>
          <w:highlight w:val="none"/>
          <w:u w:val="single"/>
        </w:rPr>
        <w:t>年</w:t>
      </w:r>
      <w:r>
        <w:rPr>
          <w:rFonts w:hint="eastAsia"/>
          <w:bCs/>
          <w:sz w:val="24"/>
          <w:highlight w:val="none"/>
          <w:u w:val="single"/>
          <w:lang w:val="en-US" w:eastAsia="zh-CN"/>
        </w:rPr>
        <w:t>4</w:t>
      </w:r>
      <w:r>
        <w:rPr>
          <w:rFonts w:hint="eastAsia"/>
          <w:bCs/>
          <w:sz w:val="24"/>
          <w:highlight w:val="none"/>
          <w:u w:val="single"/>
        </w:rPr>
        <w:t>月</w:t>
      </w:r>
      <w:r>
        <w:rPr>
          <w:rFonts w:hint="eastAsia"/>
          <w:bCs/>
          <w:sz w:val="24"/>
          <w:highlight w:val="none"/>
          <w:u w:val="single"/>
          <w:lang w:val="en-US" w:eastAsia="zh-CN"/>
        </w:rPr>
        <w:t>16</w:t>
      </w:r>
      <w:r>
        <w:rPr>
          <w:rFonts w:hint="eastAsia"/>
          <w:bCs/>
          <w:sz w:val="24"/>
          <w:highlight w:val="none"/>
          <w:u w:val="single"/>
        </w:rPr>
        <w:t>日</w:t>
      </w:r>
    </w:p>
    <w:p w14:paraId="69EAD77C">
      <w:pPr>
        <w:spacing w:line="520" w:lineRule="exact"/>
        <w:ind w:firstLine="480" w:firstLineChars="200"/>
        <w:rPr>
          <w:bCs/>
          <w:sz w:val="24"/>
          <w:highlight w:val="none"/>
        </w:rPr>
      </w:pPr>
      <w:r>
        <w:rPr>
          <w:rFonts w:hint="eastAsia"/>
          <w:bCs/>
          <w:sz w:val="24"/>
          <w:highlight w:val="none"/>
        </w:rPr>
        <w:t>地点：“江苏政府采购网”</w:t>
      </w:r>
    </w:p>
    <w:p w14:paraId="08D4AE3B">
      <w:pPr>
        <w:spacing w:line="520" w:lineRule="exact"/>
        <w:ind w:firstLine="480" w:firstLineChars="200"/>
        <w:rPr>
          <w:bCs/>
          <w:sz w:val="24"/>
          <w:highlight w:val="none"/>
        </w:rPr>
      </w:pPr>
      <w:r>
        <w:rPr>
          <w:rFonts w:hint="eastAsia"/>
          <w:bCs/>
          <w:sz w:val="24"/>
          <w:highlight w:val="none"/>
        </w:rPr>
        <w:t>方式：在“江苏政府采购网”自行下载。</w:t>
      </w:r>
    </w:p>
    <w:p w14:paraId="596E71B3">
      <w:pPr>
        <w:spacing w:line="520" w:lineRule="exact"/>
        <w:ind w:firstLine="482" w:firstLineChars="200"/>
        <w:rPr>
          <w:b/>
          <w:bCs/>
          <w:sz w:val="24"/>
          <w:highlight w:val="none"/>
        </w:rPr>
      </w:pPr>
      <w:bookmarkStart w:id="29" w:name="_Toc35393793"/>
      <w:bookmarkStart w:id="30" w:name="_Toc28359005"/>
      <w:bookmarkStart w:id="31" w:name="_Toc28359082"/>
      <w:bookmarkStart w:id="32" w:name="_Toc35393624"/>
      <w:r>
        <w:rPr>
          <w:rFonts w:hint="eastAsia"/>
          <w:b/>
          <w:bCs/>
          <w:sz w:val="24"/>
          <w:highlight w:val="none"/>
        </w:rPr>
        <w:t>四、提交</w:t>
      </w:r>
      <w:bookmarkEnd w:id="29"/>
      <w:bookmarkEnd w:id="30"/>
      <w:bookmarkEnd w:id="31"/>
      <w:bookmarkEnd w:id="32"/>
      <w:r>
        <w:rPr>
          <w:rFonts w:hint="eastAsia"/>
          <w:b/>
          <w:bCs/>
          <w:sz w:val="24"/>
          <w:highlight w:val="none"/>
        </w:rPr>
        <w:t>投标文件截止时间、开标时间和地点</w:t>
      </w:r>
    </w:p>
    <w:p w14:paraId="09BAF556">
      <w:pPr>
        <w:spacing w:line="520" w:lineRule="exact"/>
        <w:ind w:firstLine="480" w:firstLineChars="200"/>
        <w:rPr>
          <w:rFonts w:hint="default" w:eastAsia="宋体"/>
          <w:bCs/>
          <w:sz w:val="24"/>
          <w:highlight w:val="none"/>
          <w:lang w:val="en-US" w:eastAsia="zh-CN"/>
        </w:rPr>
      </w:pPr>
      <w:r>
        <w:rPr>
          <w:rFonts w:hint="eastAsia"/>
          <w:bCs/>
          <w:sz w:val="24"/>
          <w:highlight w:val="none"/>
        </w:rPr>
        <w:t>1、投标文件接收</w:t>
      </w:r>
      <w:r>
        <w:rPr>
          <w:rFonts w:hint="eastAsia"/>
          <w:bCs/>
          <w:sz w:val="24"/>
          <w:highlight w:val="none"/>
          <w:lang w:val="en-US" w:eastAsia="zh-CN"/>
        </w:rPr>
        <w:t>开始时间：</w:t>
      </w:r>
      <w:r>
        <w:rPr>
          <w:rFonts w:hint="eastAsia"/>
          <w:bCs/>
          <w:sz w:val="24"/>
          <w:highlight w:val="none"/>
        </w:rPr>
        <w:t>202</w:t>
      </w:r>
      <w:r>
        <w:rPr>
          <w:rFonts w:hint="eastAsia"/>
          <w:bCs/>
          <w:sz w:val="24"/>
          <w:highlight w:val="none"/>
          <w:lang w:val="en-US" w:eastAsia="zh-CN"/>
        </w:rPr>
        <w:t>6</w:t>
      </w:r>
      <w:r>
        <w:rPr>
          <w:rFonts w:hint="eastAsia"/>
          <w:bCs/>
          <w:sz w:val="24"/>
          <w:highlight w:val="none"/>
        </w:rPr>
        <w:t>年</w:t>
      </w:r>
      <w:r>
        <w:rPr>
          <w:rFonts w:hint="eastAsia"/>
          <w:bCs/>
          <w:sz w:val="24"/>
          <w:highlight w:val="none"/>
          <w:lang w:val="en-US" w:eastAsia="zh-CN"/>
        </w:rPr>
        <w:t>4</w:t>
      </w:r>
      <w:r>
        <w:rPr>
          <w:rFonts w:hint="eastAsia"/>
          <w:bCs/>
          <w:sz w:val="24"/>
          <w:highlight w:val="none"/>
        </w:rPr>
        <w:t>月</w:t>
      </w:r>
      <w:r>
        <w:rPr>
          <w:rFonts w:hint="eastAsia"/>
          <w:bCs/>
          <w:sz w:val="24"/>
          <w:highlight w:val="none"/>
          <w:lang w:val="en-US" w:eastAsia="zh-CN"/>
        </w:rPr>
        <w:t>17</w:t>
      </w:r>
      <w:r>
        <w:rPr>
          <w:rFonts w:hint="eastAsia"/>
          <w:bCs/>
          <w:sz w:val="24"/>
          <w:highlight w:val="none"/>
        </w:rPr>
        <w:t>日9:</w:t>
      </w:r>
      <w:r>
        <w:rPr>
          <w:rFonts w:hint="eastAsia"/>
          <w:bCs/>
          <w:sz w:val="24"/>
          <w:highlight w:val="none"/>
          <w:lang w:val="en-US" w:eastAsia="zh-CN"/>
        </w:rPr>
        <w:t>0</w:t>
      </w:r>
      <w:r>
        <w:rPr>
          <w:rFonts w:hint="eastAsia"/>
          <w:bCs/>
          <w:sz w:val="24"/>
          <w:highlight w:val="none"/>
        </w:rPr>
        <w:t>0时</w:t>
      </w:r>
    </w:p>
    <w:p w14:paraId="5C1F702C">
      <w:pPr>
        <w:spacing w:line="520" w:lineRule="exact"/>
        <w:ind w:firstLine="480" w:firstLineChars="200"/>
        <w:rPr>
          <w:bCs/>
          <w:sz w:val="24"/>
          <w:highlight w:val="none"/>
        </w:rPr>
      </w:pPr>
      <w:r>
        <w:rPr>
          <w:rFonts w:hint="eastAsia"/>
          <w:bCs/>
          <w:sz w:val="24"/>
          <w:highlight w:val="none"/>
          <w:lang w:val="en-US" w:eastAsia="zh-CN"/>
        </w:rPr>
        <w:t>2、</w:t>
      </w:r>
      <w:r>
        <w:rPr>
          <w:rFonts w:hint="eastAsia"/>
          <w:bCs/>
          <w:sz w:val="24"/>
          <w:highlight w:val="none"/>
        </w:rPr>
        <w:t>投标文件接收截止时间、开标时间：202</w:t>
      </w:r>
      <w:r>
        <w:rPr>
          <w:rFonts w:hint="eastAsia"/>
          <w:bCs/>
          <w:sz w:val="24"/>
          <w:highlight w:val="none"/>
          <w:lang w:val="en-US" w:eastAsia="zh-CN"/>
        </w:rPr>
        <w:t>6</w:t>
      </w:r>
      <w:r>
        <w:rPr>
          <w:rFonts w:hint="eastAsia"/>
          <w:bCs/>
          <w:sz w:val="24"/>
          <w:highlight w:val="none"/>
        </w:rPr>
        <w:t>年</w:t>
      </w:r>
      <w:r>
        <w:rPr>
          <w:rFonts w:hint="eastAsia"/>
          <w:bCs/>
          <w:sz w:val="24"/>
          <w:highlight w:val="none"/>
          <w:lang w:val="en-US" w:eastAsia="zh-CN"/>
        </w:rPr>
        <w:t>4</w:t>
      </w:r>
      <w:r>
        <w:rPr>
          <w:rFonts w:hint="eastAsia"/>
          <w:bCs/>
          <w:sz w:val="24"/>
          <w:highlight w:val="none"/>
        </w:rPr>
        <w:t>月</w:t>
      </w:r>
      <w:r>
        <w:rPr>
          <w:rFonts w:hint="eastAsia"/>
          <w:bCs/>
          <w:sz w:val="24"/>
          <w:highlight w:val="none"/>
          <w:lang w:val="en-US" w:eastAsia="zh-CN"/>
        </w:rPr>
        <w:t>17</w:t>
      </w:r>
      <w:r>
        <w:rPr>
          <w:rFonts w:hint="eastAsia"/>
          <w:bCs/>
          <w:sz w:val="24"/>
          <w:highlight w:val="none"/>
        </w:rPr>
        <w:t>日9:30时</w:t>
      </w:r>
    </w:p>
    <w:p w14:paraId="3857BD0B">
      <w:pPr>
        <w:spacing w:line="520" w:lineRule="exact"/>
        <w:ind w:firstLine="480" w:firstLineChars="200"/>
        <w:rPr>
          <w:bCs/>
          <w:sz w:val="24"/>
          <w:highlight w:val="none"/>
        </w:rPr>
      </w:pPr>
      <w:r>
        <w:rPr>
          <w:rFonts w:hint="eastAsia"/>
          <w:bCs/>
          <w:sz w:val="24"/>
          <w:highlight w:val="none"/>
          <w:lang w:val="en-US" w:eastAsia="zh-CN"/>
        </w:rPr>
        <w:t>3</w:t>
      </w:r>
      <w:r>
        <w:rPr>
          <w:rFonts w:hint="eastAsia"/>
          <w:bCs/>
          <w:sz w:val="24"/>
          <w:highlight w:val="none"/>
        </w:rPr>
        <w:t>、投标文件接收地点、开标地点：南京市广州路191号五环大厦11楼开标室</w:t>
      </w:r>
    </w:p>
    <w:p w14:paraId="4543F492">
      <w:pPr>
        <w:spacing w:line="520" w:lineRule="exact"/>
        <w:ind w:firstLine="482" w:firstLineChars="200"/>
        <w:rPr>
          <w:b/>
          <w:bCs/>
          <w:sz w:val="24"/>
          <w:highlight w:val="none"/>
        </w:rPr>
      </w:pPr>
      <w:r>
        <w:rPr>
          <w:rFonts w:hint="eastAsia"/>
          <w:b/>
          <w:bCs/>
          <w:sz w:val="24"/>
          <w:highlight w:val="none"/>
        </w:rPr>
        <w:t>五、</w:t>
      </w:r>
      <w:bookmarkStart w:id="33" w:name="_Toc35393794"/>
      <w:bookmarkStart w:id="34" w:name="_Toc35393625"/>
      <w:bookmarkStart w:id="35" w:name="_Toc28359084"/>
      <w:bookmarkStart w:id="36" w:name="_Toc28359007"/>
      <w:r>
        <w:rPr>
          <w:rFonts w:hint="eastAsia"/>
          <w:b/>
          <w:bCs/>
          <w:sz w:val="24"/>
          <w:highlight w:val="none"/>
        </w:rPr>
        <w:t>公告期限</w:t>
      </w:r>
      <w:bookmarkEnd w:id="33"/>
      <w:bookmarkEnd w:id="34"/>
      <w:bookmarkEnd w:id="35"/>
      <w:bookmarkEnd w:id="36"/>
    </w:p>
    <w:p w14:paraId="0275FDF8">
      <w:pPr>
        <w:spacing w:line="520" w:lineRule="exact"/>
        <w:ind w:firstLine="480" w:firstLineChars="200"/>
        <w:rPr>
          <w:bCs/>
          <w:sz w:val="24"/>
          <w:highlight w:val="none"/>
        </w:rPr>
      </w:pPr>
      <w:r>
        <w:rPr>
          <w:rFonts w:hint="eastAsia"/>
          <w:bCs/>
          <w:sz w:val="24"/>
          <w:highlight w:val="none"/>
        </w:rPr>
        <w:t>自本公告发布之日起5个工作日。</w:t>
      </w:r>
    </w:p>
    <w:p w14:paraId="3A2A2F59">
      <w:pPr>
        <w:spacing w:line="520" w:lineRule="exact"/>
        <w:ind w:firstLine="482" w:firstLineChars="200"/>
        <w:rPr>
          <w:b/>
          <w:bCs/>
          <w:sz w:val="24"/>
          <w:highlight w:val="none"/>
        </w:rPr>
      </w:pPr>
      <w:bookmarkStart w:id="37" w:name="_Toc35393795"/>
      <w:bookmarkStart w:id="38" w:name="_Toc35393626"/>
      <w:r>
        <w:rPr>
          <w:rFonts w:hint="eastAsia"/>
          <w:b/>
          <w:bCs/>
          <w:sz w:val="24"/>
          <w:highlight w:val="none"/>
        </w:rPr>
        <w:t>六、其他补充事宜</w:t>
      </w:r>
      <w:bookmarkEnd w:id="37"/>
      <w:bookmarkEnd w:id="38"/>
    </w:p>
    <w:p w14:paraId="050DF9DE">
      <w:pPr>
        <w:spacing w:line="520" w:lineRule="exact"/>
        <w:ind w:firstLine="480" w:firstLineChars="200"/>
        <w:rPr>
          <w:bCs/>
          <w:sz w:val="24"/>
          <w:highlight w:val="none"/>
        </w:rPr>
      </w:pPr>
      <w:r>
        <w:rPr>
          <w:rFonts w:hint="eastAsia"/>
          <w:bCs/>
          <w:sz w:val="24"/>
          <w:highlight w:val="none"/>
        </w:rPr>
        <w:t xml:space="preserve">1. </w:t>
      </w:r>
      <w:r>
        <w:rPr>
          <w:b/>
          <w:bCs/>
          <w:sz w:val="24"/>
          <w:highlight w:val="none"/>
        </w:rPr>
        <w:t>潜在供应商对项目需求部分的询问、质疑请向采购人提出，由采购人负责答复。</w:t>
      </w:r>
    </w:p>
    <w:p w14:paraId="467DB909">
      <w:pPr>
        <w:spacing w:line="520" w:lineRule="exact"/>
        <w:ind w:firstLine="480" w:firstLineChars="200"/>
        <w:rPr>
          <w:sz w:val="24"/>
          <w:highlight w:val="none"/>
        </w:rPr>
      </w:pPr>
      <w:r>
        <w:rPr>
          <w:rFonts w:hint="eastAsia"/>
          <w:bCs/>
          <w:sz w:val="24"/>
          <w:highlight w:val="none"/>
          <w:lang w:val="en-US" w:eastAsia="zh-CN"/>
        </w:rPr>
        <w:t>2</w:t>
      </w:r>
      <w:r>
        <w:rPr>
          <w:rFonts w:hint="eastAsia"/>
          <w:bCs/>
          <w:sz w:val="24"/>
          <w:highlight w:val="none"/>
        </w:rPr>
        <w:t xml:space="preserve">. </w:t>
      </w:r>
      <w:r>
        <w:rPr>
          <w:sz w:val="24"/>
          <w:highlight w:val="none"/>
        </w:rPr>
        <w:t>投标文件制作份数要求：</w:t>
      </w:r>
    </w:p>
    <w:p w14:paraId="153C254F">
      <w:pPr>
        <w:spacing w:line="520" w:lineRule="exact"/>
        <w:ind w:firstLine="480" w:firstLineChars="200"/>
        <w:rPr>
          <w:rFonts w:hint="eastAsia"/>
          <w:sz w:val="24"/>
          <w:highlight w:val="none"/>
          <w:lang w:val="en-US" w:eastAsia="zh-CN"/>
        </w:rPr>
      </w:pPr>
      <w:r>
        <w:rPr>
          <w:rFonts w:hint="eastAsia"/>
          <w:sz w:val="24"/>
          <w:highlight w:val="none"/>
          <w:lang w:val="en-US" w:eastAsia="zh-CN"/>
        </w:rPr>
        <w:t>2</w:t>
      </w:r>
      <w:r>
        <w:rPr>
          <w:rFonts w:hint="eastAsia"/>
          <w:sz w:val="24"/>
          <w:highlight w:val="none"/>
        </w:rPr>
        <w:t xml:space="preserve">.1 </w:t>
      </w:r>
      <w:r>
        <w:rPr>
          <w:sz w:val="24"/>
          <w:highlight w:val="none"/>
        </w:rPr>
        <w:t>纸质版投标文件正本份数：1份   副本份数：</w:t>
      </w:r>
      <w:r>
        <w:rPr>
          <w:rFonts w:hint="eastAsia"/>
          <w:sz w:val="24"/>
          <w:highlight w:val="none"/>
          <w:lang w:val="en-US" w:eastAsia="zh-CN"/>
        </w:rPr>
        <w:t>6份</w:t>
      </w:r>
    </w:p>
    <w:p w14:paraId="4449D734">
      <w:pPr>
        <w:spacing w:line="520" w:lineRule="exact"/>
        <w:ind w:firstLine="480" w:firstLineChars="200"/>
        <w:rPr>
          <w:sz w:val="24"/>
          <w:highlight w:val="none"/>
        </w:rPr>
      </w:pPr>
      <w:r>
        <w:rPr>
          <w:rFonts w:hint="eastAsia"/>
          <w:sz w:val="24"/>
          <w:highlight w:val="none"/>
          <w:lang w:val="en-US" w:eastAsia="zh-CN"/>
        </w:rPr>
        <w:t>2</w:t>
      </w:r>
      <w:r>
        <w:rPr>
          <w:rFonts w:hint="eastAsia"/>
          <w:sz w:val="24"/>
          <w:highlight w:val="none"/>
        </w:rPr>
        <w:t>.2 供应商另准备</w:t>
      </w:r>
      <w:r>
        <w:rPr>
          <w:sz w:val="24"/>
          <w:highlight w:val="none"/>
        </w:rPr>
        <w:t>电子版投标文件1份，用于存档查阅（正本签字、盖章后扫描，一般应为PDF或JPG格式、U盘或光盘形式）。</w:t>
      </w:r>
    </w:p>
    <w:p w14:paraId="17C2A840">
      <w:pPr>
        <w:spacing w:line="520" w:lineRule="exact"/>
        <w:ind w:firstLine="480" w:firstLineChars="200"/>
        <w:rPr>
          <w:rFonts w:hint="eastAsia"/>
          <w:sz w:val="24"/>
          <w:highlight w:val="none"/>
          <w:lang w:val="en-US" w:eastAsia="zh-CN"/>
        </w:rPr>
      </w:pPr>
      <w:r>
        <w:rPr>
          <w:rFonts w:hint="eastAsia"/>
          <w:sz w:val="24"/>
          <w:highlight w:val="none"/>
          <w:lang w:val="en-US" w:eastAsia="zh-CN"/>
        </w:rPr>
        <w:t>3</w:t>
      </w:r>
      <w:r>
        <w:rPr>
          <w:rFonts w:hint="eastAsia"/>
          <w:sz w:val="24"/>
          <w:highlight w:val="none"/>
        </w:rPr>
        <w:t>. 本项目不收取投标保证金</w:t>
      </w:r>
      <w:r>
        <w:rPr>
          <w:rFonts w:hint="eastAsia"/>
          <w:sz w:val="24"/>
          <w:highlight w:val="none"/>
          <w:lang w:val="en-US" w:eastAsia="zh-CN"/>
        </w:rPr>
        <w:t>。</w:t>
      </w:r>
    </w:p>
    <w:p w14:paraId="1C5EA810">
      <w:pPr>
        <w:spacing w:line="520" w:lineRule="exact"/>
        <w:ind w:firstLine="480" w:firstLineChars="200"/>
        <w:rPr>
          <w:rFonts w:hint="eastAsia" w:ascii="Times New Roman" w:hAnsi="Times New Roman" w:eastAsia="宋体" w:cs="Times New Roman"/>
          <w:b/>
          <w:bCs/>
          <w:i/>
          <w:iCs/>
          <w:color w:val="000000"/>
          <w:sz w:val="24"/>
          <w:u w:val="single"/>
        </w:rPr>
      </w:pPr>
      <w:r>
        <w:rPr>
          <w:rFonts w:hint="eastAsia"/>
          <w:bCs/>
          <w:sz w:val="24"/>
          <w:highlight w:val="none"/>
          <w:lang w:val="en-US" w:eastAsia="zh-CN"/>
        </w:rPr>
        <w:t>4.</w:t>
      </w:r>
      <w:r>
        <w:rPr>
          <w:rFonts w:hint="eastAsia" w:ascii="Times New Roman" w:hAnsi="Times New Roman" w:eastAsia="宋体" w:cs="Times New Roman"/>
          <w:b/>
          <w:bCs/>
          <w:i/>
          <w:iCs/>
          <w:color w:val="000000"/>
          <w:sz w:val="24"/>
          <w:u w:val="single"/>
        </w:rPr>
        <w:t>本次</w:t>
      </w:r>
      <w:r>
        <w:rPr>
          <w:rFonts w:hint="eastAsia" w:ascii="Times New Roman" w:hAnsi="Times New Roman" w:eastAsia="宋体" w:cs="Times New Roman"/>
          <w:b/>
          <w:bCs/>
          <w:i/>
          <w:iCs/>
          <w:color w:val="000000"/>
          <w:sz w:val="24"/>
          <w:u w:val="single"/>
          <w:lang w:val="en-US" w:eastAsia="zh-CN"/>
        </w:rPr>
        <w:t>采购</w:t>
      </w:r>
      <w:r>
        <w:rPr>
          <w:rFonts w:hint="eastAsia" w:ascii="Times New Roman" w:hAnsi="Times New Roman" w:eastAsia="宋体" w:cs="Times New Roman"/>
          <w:b/>
          <w:bCs/>
          <w:i/>
          <w:iCs/>
          <w:color w:val="000000"/>
          <w:sz w:val="24"/>
          <w:u w:val="single"/>
        </w:rPr>
        <w:t>装备中心收取</w:t>
      </w:r>
      <w:r>
        <w:rPr>
          <w:rFonts w:hint="eastAsia" w:cs="Times New Roman"/>
          <w:b/>
          <w:bCs/>
          <w:i/>
          <w:iCs/>
          <w:color w:val="000000"/>
          <w:sz w:val="24"/>
          <w:u w:val="single"/>
          <w:lang w:val="en-US" w:eastAsia="zh-CN"/>
        </w:rPr>
        <w:t>中标</w:t>
      </w:r>
      <w:r>
        <w:rPr>
          <w:rFonts w:hint="eastAsia" w:ascii="Times New Roman" w:hAnsi="Times New Roman" w:eastAsia="宋体" w:cs="Times New Roman"/>
          <w:b/>
          <w:bCs/>
          <w:i/>
          <w:iCs/>
          <w:color w:val="000000"/>
          <w:sz w:val="24"/>
          <w:u w:val="single"/>
        </w:rPr>
        <w:t>服务费</w:t>
      </w:r>
      <w:r>
        <w:rPr>
          <w:rFonts w:hint="eastAsia" w:ascii="Times New Roman" w:hAnsi="Times New Roman" w:eastAsia="宋体" w:cs="Times New Roman"/>
          <w:b/>
          <w:bCs/>
          <w:i/>
          <w:iCs/>
          <w:color w:val="000000"/>
          <w:sz w:val="24"/>
          <w:u w:val="single"/>
          <w:lang w:val="en-US" w:eastAsia="zh-CN"/>
        </w:rPr>
        <w:t>。</w:t>
      </w:r>
      <w:r>
        <w:rPr>
          <w:rFonts w:hint="eastAsia" w:ascii="Times New Roman" w:hAnsi="Times New Roman" w:eastAsia="宋体" w:cs="Times New Roman"/>
          <w:b/>
          <w:bCs/>
          <w:i/>
          <w:iCs/>
          <w:color w:val="000000"/>
          <w:sz w:val="24"/>
          <w:u w:val="single"/>
        </w:rPr>
        <w:t>按照苏政采协[2024]20号</w:t>
      </w:r>
      <w:r>
        <w:rPr>
          <w:rFonts w:hint="eastAsia" w:ascii="Times New Roman" w:hAnsi="Times New Roman" w:eastAsia="宋体" w:cs="Times New Roman"/>
          <w:b/>
          <w:bCs/>
          <w:i/>
          <w:iCs/>
          <w:color w:val="000000"/>
          <w:sz w:val="24"/>
          <w:u w:val="single"/>
          <w:lang w:val="zh-CN"/>
        </w:rPr>
        <w:t>文的规定收取，由</w:t>
      </w:r>
      <w:r>
        <w:rPr>
          <w:rFonts w:hint="eastAsia" w:cs="Times New Roman"/>
          <w:b/>
          <w:bCs/>
          <w:i/>
          <w:iCs/>
          <w:color w:val="000000"/>
          <w:sz w:val="24"/>
          <w:u w:val="single"/>
          <w:lang w:val="en-US" w:eastAsia="zh-CN"/>
        </w:rPr>
        <w:t>中标</w:t>
      </w:r>
      <w:r>
        <w:rPr>
          <w:rFonts w:hint="eastAsia" w:ascii="Times New Roman" w:hAnsi="Times New Roman" w:eastAsia="宋体" w:cs="Times New Roman"/>
          <w:b/>
          <w:bCs/>
          <w:i/>
          <w:iCs/>
          <w:color w:val="000000"/>
          <w:sz w:val="24"/>
          <w:u w:val="single"/>
          <w:lang w:val="zh-CN"/>
        </w:rPr>
        <w:t>供应商领取</w:t>
      </w:r>
      <w:r>
        <w:rPr>
          <w:rFonts w:hint="eastAsia" w:cs="Times New Roman"/>
          <w:b/>
          <w:bCs/>
          <w:i/>
          <w:iCs/>
          <w:color w:val="000000"/>
          <w:sz w:val="24"/>
          <w:u w:val="single"/>
          <w:lang w:val="en-US" w:eastAsia="zh-CN"/>
        </w:rPr>
        <w:t>中标</w:t>
      </w:r>
      <w:r>
        <w:rPr>
          <w:rFonts w:hint="eastAsia" w:ascii="Times New Roman" w:hAnsi="Times New Roman" w:eastAsia="宋体" w:cs="Times New Roman"/>
          <w:b/>
          <w:bCs/>
          <w:i/>
          <w:iCs/>
          <w:color w:val="000000"/>
          <w:sz w:val="24"/>
          <w:u w:val="single"/>
          <w:lang w:val="zh-CN"/>
        </w:rPr>
        <w:t>通知书时一次性向</w:t>
      </w:r>
      <w:r>
        <w:rPr>
          <w:rFonts w:hint="eastAsia" w:ascii="Times New Roman" w:hAnsi="Times New Roman" w:eastAsia="宋体" w:cs="Times New Roman"/>
          <w:b/>
          <w:bCs/>
          <w:i/>
          <w:iCs/>
          <w:color w:val="000000"/>
          <w:sz w:val="24"/>
          <w:u w:val="single"/>
          <w:lang w:val="en-US" w:eastAsia="zh-CN"/>
        </w:rPr>
        <w:t>装备中心</w:t>
      </w:r>
      <w:r>
        <w:rPr>
          <w:rFonts w:hint="eastAsia" w:ascii="Times New Roman" w:hAnsi="Times New Roman" w:eastAsia="宋体" w:cs="Times New Roman"/>
          <w:b/>
          <w:bCs/>
          <w:i/>
          <w:iCs/>
          <w:color w:val="000000"/>
          <w:sz w:val="24"/>
          <w:u w:val="single"/>
          <w:lang w:val="zh-CN"/>
        </w:rPr>
        <w:t>支付。本项费用无需在报价表中单列</w:t>
      </w:r>
      <w:r>
        <w:rPr>
          <w:rFonts w:hint="eastAsia" w:ascii="Times New Roman" w:hAnsi="Times New Roman" w:eastAsia="宋体" w:cs="Times New Roman"/>
          <w:b/>
          <w:bCs/>
          <w:i/>
          <w:iCs/>
          <w:color w:val="000000"/>
          <w:sz w:val="24"/>
          <w:u w:val="single"/>
        </w:rPr>
        <w:t>。</w:t>
      </w:r>
    </w:p>
    <w:p w14:paraId="29438B33">
      <w:pPr>
        <w:spacing w:line="520" w:lineRule="exact"/>
        <w:ind w:firstLine="480" w:firstLineChars="200"/>
        <w:rPr>
          <w:bCs/>
          <w:sz w:val="24"/>
          <w:highlight w:val="none"/>
        </w:rPr>
      </w:pPr>
      <w:r>
        <w:rPr>
          <w:rFonts w:hint="eastAsia"/>
          <w:bCs/>
          <w:sz w:val="24"/>
          <w:highlight w:val="none"/>
        </w:rPr>
        <w:t xml:space="preserve">5. </w:t>
      </w:r>
      <w:r>
        <w:rPr>
          <w:bCs/>
          <w:sz w:val="24"/>
          <w:highlight w:val="none"/>
        </w:rPr>
        <w:t>有关本次公开招标的事项若存在变动或修改，敬请及时关注装备中心在“江苏政府采购网”发布的信息更正公告。</w:t>
      </w:r>
    </w:p>
    <w:p w14:paraId="4978A56A">
      <w:pPr>
        <w:spacing w:line="520" w:lineRule="exact"/>
        <w:ind w:firstLine="482" w:firstLineChars="200"/>
        <w:rPr>
          <w:b/>
          <w:bCs/>
          <w:sz w:val="24"/>
          <w:highlight w:val="none"/>
        </w:rPr>
      </w:pPr>
      <w:bookmarkStart w:id="39" w:name="_Toc35393627"/>
      <w:bookmarkStart w:id="40" w:name="_Toc28359008"/>
      <w:bookmarkStart w:id="41" w:name="_Toc35393796"/>
      <w:bookmarkStart w:id="42" w:name="_Toc28359085"/>
      <w:r>
        <w:rPr>
          <w:rFonts w:hint="eastAsia"/>
          <w:b/>
          <w:bCs/>
          <w:sz w:val="24"/>
          <w:highlight w:val="none"/>
        </w:rPr>
        <w:t>七、对本次招标提出询问，请按</w:t>
      </w:r>
      <w:r>
        <w:rPr>
          <w:b/>
          <w:bCs/>
          <w:sz w:val="24"/>
          <w:highlight w:val="none"/>
        </w:rPr>
        <w:t>以下方式</w:t>
      </w:r>
      <w:r>
        <w:rPr>
          <w:rFonts w:hint="eastAsia"/>
          <w:b/>
          <w:bCs/>
          <w:sz w:val="24"/>
          <w:highlight w:val="none"/>
        </w:rPr>
        <w:t>联系。</w:t>
      </w:r>
      <w:bookmarkEnd w:id="39"/>
      <w:bookmarkEnd w:id="40"/>
      <w:bookmarkEnd w:id="41"/>
      <w:bookmarkEnd w:id="42"/>
    </w:p>
    <w:p w14:paraId="63694AD4">
      <w:pPr>
        <w:spacing w:line="520" w:lineRule="exact"/>
        <w:ind w:firstLine="480" w:firstLineChars="200"/>
        <w:rPr>
          <w:bCs/>
          <w:sz w:val="24"/>
          <w:highlight w:val="none"/>
        </w:rPr>
      </w:pPr>
      <w:r>
        <w:rPr>
          <w:rFonts w:hint="eastAsia"/>
          <w:bCs/>
          <w:sz w:val="24"/>
          <w:highlight w:val="none"/>
        </w:rPr>
        <w:t>1. 采购人信息</w:t>
      </w:r>
    </w:p>
    <w:p w14:paraId="42280F8C">
      <w:pPr>
        <w:spacing w:line="520" w:lineRule="exact"/>
        <w:ind w:firstLine="480" w:firstLineChars="200"/>
        <w:rPr>
          <w:bCs/>
          <w:sz w:val="24"/>
          <w:highlight w:val="none"/>
        </w:rPr>
      </w:pPr>
      <w:r>
        <w:rPr>
          <w:rFonts w:hint="eastAsia"/>
          <w:bCs/>
          <w:sz w:val="24"/>
          <w:highlight w:val="none"/>
        </w:rPr>
        <w:t>名    称：</w:t>
      </w:r>
      <w:r>
        <w:rPr>
          <w:sz w:val="24"/>
          <w:highlight w:val="none"/>
        </w:rPr>
        <w:t>江苏省体育彩票管理中心</w:t>
      </w:r>
    </w:p>
    <w:p w14:paraId="4932A8A8">
      <w:pPr>
        <w:spacing w:line="520" w:lineRule="exact"/>
        <w:ind w:firstLine="480" w:firstLineChars="200"/>
        <w:rPr>
          <w:rFonts w:ascii="Times New Roman" w:hAnsi="Times New Roman"/>
          <w:bCs/>
          <w:sz w:val="24"/>
          <w:highlight w:val="none"/>
        </w:rPr>
      </w:pPr>
      <w:r>
        <w:rPr>
          <w:rFonts w:ascii="Times New Roman"/>
          <w:bCs/>
          <w:sz w:val="24"/>
          <w:highlight w:val="none"/>
        </w:rPr>
        <w:t>地</w:t>
      </w:r>
      <w:r>
        <w:rPr>
          <w:rFonts w:ascii="Times New Roman" w:hAnsi="Times New Roman"/>
          <w:bCs/>
          <w:sz w:val="24"/>
          <w:highlight w:val="none"/>
        </w:rPr>
        <w:t xml:space="preserve">    </w:t>
      </w:r>
      <w:r>
        <w:rPr>
          <w:rFonts w:ascii="Times New Roman"/>
          <w:bCs/>
          <w:sz w:val="24"/>
          <w:highlight w:val="none"/>
        </w:rPr>
        <w:t>址：</w:t>
      </w:r>
      <w:r>
        <w:rPr>
          <w:sz w:val="24"/>
          <w:highlight w:val="none"/>
        </w:rPr>
        <w:t>南京市广州路191号五环大厦3楼</w:t>
      </w:r>
    </w:p>
    <w:p w14:paraId="6A42A35E">
      <w:pPr>
        <w:spacing w:line="520" w:lineRule="exact"/>
        <w:ind w:firstLine="480" w:firstLineChars="200"/>
        <w:rPr>
          <w:rFonts w:hint="default" w:ascii="Times New Roman" w:hAnsi="Times New Roman" w:eastAsia="宋体"/>
          <w:bCs/>
          <w:sz w:val="24"/>
          <w:highlight w:val="none"/>
          <w:lang w:val="en-US" w:eastAsia="zh-CN"/>
        </w:rPr>
      </w:pPr>
      <w:r>
        <w:rPr>
          <w:rFonts w:ascii="Times New Roman"/>
          <w:bCs/>
          <w:sz w:val="24"/>
          <w:highlight w:val="none"/>
        </w:rPr>
        <w:t>联系方式：</w:t>
      </w:r>
      <w:bookmarkStart w:id="43" w:name="_Toc28359086"/>
      <w:bookmarkStart w:id="44" w:name="_Toc28359009"/>
      <w:r>
        <w:rPr>
          <w:rFonts w:hint="eastAsia"/>
          <w:sz w:val="24"/>
          <w:highlight w:val="none"/>
          <w:lang w:val="en-US" w:eastAsia="zh-CN"/>
        </w:rPr>
        <w:t>刘聪</w:t>
      </w:r>
      <w:r>
        <w:rPr>
          <w:rFonts w:hint="eastAsia" w:ascii="Times New Roman" w:hAnsi="Times New Roman"/>
          <w:sz w:val="24"/>
          <w:highlight w:val="none"/>
        </w:rPr>
        <w:t>025-51886</w:t>
      </w:r>
      <w:r>
        <w:rPr>
          <w:rFonts w:hint="eastAsia"/>
          <w:sz w:val="24"/>
          <w:highlight w:val="none"/>
          <w:lang w:val="en-US" w:eastAsia="zh-CN"/>
        </w:rPr>
        <w:t>049</w:t>
      </w:r>
    </w:p>
    <w:p w14:paraId="5314A214">
      <w:pPr>
        <w:spacing w:line="520" w:lineRule="exact"/>
        <w:ind w:firstLine="480" w:firstLineChars="200"/>
        <w:rPr>
          <w:bCs/>
          <w:sz w:val="24"/>
          <w:highlight w:val="none"/>
        </w:rPr>
      </w:pPr>
      <w:r>
        <w:rPr>
          <w:rFonts w:hint="eastAsia"/>
          <w:bCs/>
          <w:sz w:val="24"/>
          <w:highlight w:val="none"/>
        </w:rPr>
        <w:t>2. 采购代理机构信息</w:t>
      </w:r>
      <w:bookmarkEnd w:id="43"/>
      <w:bookmarkEnd w:id="44"/>
    </w:p>
    <w:p w14:paraId="61E617A7">
      <w:pPr>
        <w:spacing w:line="520" w:lineRule="exact"/>
        <w:ind w:firstLine="480" w:firstLineChars="200"/>
        <w:rPr>
          <w:bCs/>
          <w:sz w:val="24"/>
          <w:highlight w:val="none"/>
        </w:rPr>
      </w:pPr>
      <w:r>
        <w:rPr>
          <w:rFonts w:hint="eastAsia"/>
          <w:bCs/>
          <w:sz w:val="24"/>
          <w:highlight w:val="none"/>
        </w:rPr>
        <w:t>名    称：</w:t>
      </w:r>
      <w:r>
        <w:rPr>
          <w:bCs/>
          <w:sz w:val="24"/>
          <w:highlight w:val="none"/>
        </w:rPr>
        <w:t>江苏省体育装备中心</w:t>
      </w:r>
    </w:p>
    <w:p w14:paraId="1C553C00">
      <w:pPr>
        <w:spacing w:line="520" w:lineRule="exact"/>
        <w:ind w:firstLine="480" w:firstLineChars="200"/>
        <w:rPr>
          <w:bCs/>
          <w:sz w:val="24"/>
          <w:highlight w:val="none"/>
        </w:rPr>
      </w:pPr>
      <w:r>
        <w:rPr>
          <w:rFonts w:hint="eastAsia"/>
          <w:bCs/>
          <w:sz w:val="24"/>
          <w:highlight w:val="none"/>
        </w:rPr>
        <w:t>地　  址：</w:t>
      </w:r>
      <w:r>
        <w:rPr>
          <w:bCs/>
          <w:sz w:val="24"/>
          <w:highlight w:val="none"/>
        </w:rPr>
        <w:t>南京市广州路191号五环大厦12楼</w:t>
      </w:r>
    </w:p>
    <w:p w14:paraId="493C7F37">
      <w:pPr>
        <w:spacing w:line="520" w:lineRule="exact"/>
        <w:ind w:firstLine="480" w:firstLineChars="200"/>
        <w:rPr>
          <w:bCs/>
          <w:sz w:val="24"/>
          <w:highlight w:val="none"/>
        </w:rPr>
      </w:pPr>
      <w:r>
        <w:rPr>
          <w:rFonts w:hint="eastAsia"/>
          <w:bCs/>
          <w:sz w:val="24"/>
          <w:highlight w:val="none"/>
        </w:rPr>
        <w:t>联系方式：</w:t>
      </w:r>
      <w:bookmarkStart w:id="45" w:name="_Toc28359010"/>
      <w:bookmarkStart w:id="46" w:name="_Toc28359087"/>
      <w:r>
        <w:rPr>
          <w:bCs/>
          <w:sz w:val="24"/>
          <w:highlight w:val="none"/>
        </w:rPr>
        <w:t>025-51889545</w:t>
      </w:r>
    </w:p>
    <w:p w14:paraId="21C669AB">
      <w:pPr>
        <w:spacing w:line="520" w:lineRule="exact"/>
        <w:ind w:firstLine="480" w:firstLineChars="200"/>
        <w:rPr>
          <w:bCs/>
          <w:sz w:val="24"/>
          <w:highlight w:val="none"/>
        </w:rPr>
      </w:pPr>
      <w:r>
        <w:rPr>
          <w:rFonts w:hint="eastAsia"/>
          <w:bCs/>
          <w:sz w:val="24"/>
          <w:highlight w:val="none"/>
        </w:rPr>
        <w:t>3. 项目</w:t>
      </w:r>
      <w:r>
        <w:rPr>
          <w:bCs/>
          <w:sz w:val="24"/>
          <w:highlight w:val="none"/>
        </w:rPr>
        <w:t>联系方式</w:t>
      </w:r>
      <w:bookmarkEnd w:id="45"/>
      <w:bookmarkEnd w:id="46"/>
    </w:p>
    <w:p w14:paraId="509F8036">
      <w:pPr>
        <w:spacing w:line="520" w:lineRule="exact"/>
        <w:ind w:firstLine="480" w:firstLineChars="200"/>
        <w:rPr>
          <w:bCs/>
          <w:sz w:val="24"/>
          <w:highlight w:val="none"/>
        </w:rPr>
      </w:pPr>
      <w:r>
        <w:rPr>
          <w:rFonts w:hint="eastAsia"/>
          <w:bCs/>
          <w:sz w:val="24"/>
          <w:highlight w:val="none"/>
        </w:rPr>
        <w:t>项目联系人：</w:t>
      </w:r>
      <w:r>
        <w:rPr>
          <w:rFonts w:hint="eastAsia"/>
          <w:bCs/>
          <w:sz w:val="24"/>
          <w:highlight w:val="none"/>
          <w:lang w:val="en-US" w:eastAsia="zh-CN"/>
        </w:rPr>
        <w:t>刘巍</w:t>
      </w:r>
      <w:r>
        <w:rPr>
          <w:bCs/>
          <w:sz w:val="24"/>
          <w:highlight w:val="none"/>
        </w:rPr>
        <w:t>、田长山</w:t>
      </w:r>
    </w:p>
    <w:p w14:paraId="279876FB">
      <w:pPr>
        <w:spacing w:line="520" w:lineRule="exact"/>
        <w:ind w:firstLine="480" w:firstLineChars="200"/>
        <w:rPr>
          <w:rFonts w:ascii="Times New Roman" w:hAnsi="Times New Roman"/>
          <w:highlight w:val="none"/>
        </w:rPr>
      </w:pPr>
      <w:r>
        <w:rPr>
          <w:rFonts w:hint="eastAsia"/>
          <w:bCs/>
          <w:sz w:val="24"/>
          <w:highlight w:val="none"/>
        </w:rPr>
        <w:t>电    　话：</w:t>
      </w:r>
      <w:r>
        <w:rPr>
          <w:bCs/>
          <w:sz w:val="24"/>
          <w:highlight w:val="none"/>
        </w:rPr>
        <w:t>025-51889606、51889549</w:t>
      </w:r>
    </w:p>
    <w:p w14:paraId="1C9751E1">
      <w:pPr>
        <w:pStyle w:val="2"/>
        <w:rPr>
          <w:rFonts w:ascii="Times New Roman" w:eastAsia="黑体"/>
          <w:bCs/>
          <w:sz w:val="44"/>
          <w:highlight w:val="none"/>
        </w:rPr>
      </w:pPr>
      <w:bookmarkStart w:id="47" w:name="_Toc120614211"/>
      <w:r>
        <w:rPr>
          <w:rFonts w:ascii="Times New Roman" w:eastAsia="黑体"/>
          <w:bCs/>
          <w:sz w:val="44"/>
          <w:highlight w:val="none"/>
        </w:rPr>
        <w:br w:type="page"/>
      </w:r>
      <w:bookmarkStart w:id="48" w:name="_Toc475009295"/>
      <w:bookmarkStart w:id="49" w:name="_Toc481071965"/>
      <w:bookmarkStart w:id="50" w:name="_Toc481072011"/>
      <w:bookmarkStart w:id="51" w:name="_Toc511899513"/>
      <w:bookmarkStart w:id="52" w:name="_Toc145408597"/>
      <w:r>
        <w:rPr>
          <w:rFonts w:ascii="Times New Roman" w:eastAsia="黑体"/>
          <w:bCs/>
          <w:sz w:val="44"/>
          <w:highlight w:val="none"/>
        </w:rPr>
        <w:t xml:space="preserve">第二章  </w:t>
      </w:r>
      <w:bookmarkEnd w:id="8"/>
      <w:bookmarkEnd w:id="9"/>
      <w:bookmarkEnd w:id="10"/>
      <w:bookmarkEnd w:id="11"/>
      <w:bookmarkEnd w:id="12"/>
      <w:bookmarkEnd w:id="47"/>
      <w:bookmarkEnd w:id="48"/>
      <w:bookmarkEnd w:id="49"/>
      <w:bookmarkEnd w:id="50"/>
      <w:r>
        <w:rPr>
          <w:rFonts w:ascii="Times New Roman" w:eastAsia="黑体"/>
          <w:bCs/>
          <w:sz w:val="44"/>
          <w:highlight w:val="none"/>
        </w:rPr>
        <w:t>供应商须知</w:t>
      </w:r>
      <w:bookmarkEnd w:id="51"/>
      <w:bookmarkEnd w:id="52"/>
    </w:p>
    <w:p w14:paraId="04C1A805">
      <w:pPr>
        <w:pStyle w:val="5"/>
        <w:spacing w:before="0" w:after="0" w:line="538" w:lineRule="exact"/>
        <w:ind w:firstLine="482" w:firstLineChars="150"/>
        <w:rPr>
          <w:highlight w:val="none"/>
        </w:rPr>
      </w:pPr>
      <w:bookmarkStart w:id="53" w:name="_Toc120614214"/>
      <w:bookmarkStart w:id="54" w:name="_Toc20823275"/>
      <w:bookmarkStart w:id="55" w:name="_Toc16938519"/>
      <w:bookmarkStart w:id="56" w:name="_Toc513029203"/>
      <w:bookmarkStart w:id="57" w:name="_Toc16938558"/>
      <w:bookmarkStart w:id="58" w:name="_Toc479757207"/>
      <w:bookmarkStart w:id="59" w:name="_Toc120614221"/>
      <w:bookmarkStart w:id="60" w:name="_Toc513029242"/>
      <w:bookmarkStart w:id="61" w:name="_Toc20823314"/>
      <w:r>
        <w:rPr>
          <w:highlight w:val="none"/>
        </w:rPr>
        <w:t>一、总则</w:t>
      </w:r>
      <w:bookmarkEnd w:id="53"/>
      <w:bookmarkEnd w:id="54"/>
      <w:bookmarkEnd w:id="55"/>
      <w:bookmarkEnd w:id="56"/>
    </w:p>
    <w:p w14:paraId="515EDBDC">
      <w:pPr>
        <w:pStyle w:val="6"/>
        <w:spacing w:before="0" w:after="0" w:line="538" w:lineRule="exact"/>
        <w:ind w:right="-44" w:firstLine="490" w:firstLineChars="175"/>
        <w:rPr>
          <w:rFonts w:ascii="Times New Roman" w:hAnsi="Times New Roman"/>
          <w:b w:val="0"/>
          <w:bCs w:val="0"/>
          <w:highlight w:val="none"/>
        </w:rPr>
      </w:pPr>
      <w:bookmarkStart w:id="62" w:name="_Hlt16619475"/>
      <w:bookmarkEnd w:id="62"/>
      <w:bookmarkStart w:id="63" w:name="_Toc16938520"/>
      <w:bookmarkStart w:id="64" w:name="_Toc458694821"/>
      <w:bookmarkStart w:id="65" w:name="_Toc513029204"/>
      <w:bookmarkStart w:id="66" w:name="_Toc20823276"/>
      <w:r>
        <w:rPr>
          <w:rFonts w:ascii="Times New Roman" w:hAnsi="Times New Roman"/>
          <w:b w:val="0"/>
          <w:bCs w:val="0"/>
          <w:highlight w:val="none"/>
        </w:rPr>
        <w:t>1</w:t>
      </w:r>
      <w:bookmarkEnd w:id="63"/>
      <w:bookmarkEnd w:id="64"/>
      <w:bookmarkEnd w:id="65"/>
      <w:bookmarkEnd w:id="66"/>
      <w:r>
        <w:rPr>
          <w:rFonts w:ascii="Times New Roman" w:hAnsi="Times New Roman"/>
          <w:b w:val="0"/>
          <w:bCs w:val="0"/>
          <w:highlight w:val="none"/>
        </w:rPr>
        <w:t>．适用范围</w:t>
      </w:r>
    </w:p>
    <w:p w14:paraId="74007DEE">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1.1本次项目采用公开招标采购方式，本招标文件仅适用于本次招标邀请中所述项目。</w:t>
      </w:r>
    </w:p>
    <w:p w14:paraId="24CB0B24">
      <w:pPr>
        <w:pStyle w:val="6"/>
        <w:spacing w:before="0" w:after="0" w:line="538" w:lineRule="exact"/>
        <w:ind w:right="-44" w:firstLine="490" w:firstLineChars="175"/>
        <w:rPr>
          <w:rFonts w:ascii="Times New Roman" w:hAnsi="Times New Roman"/>
          <w:b w:val="0"/>
          <w:bCs w:val="0"/>
          <w:highlight w:val="none"/>
        </w:rPr>
      </w:pPr>
      <w:bookmarkStart w:id="67" w:name="_Toc20823277"/>
      <w:bookmarkStart w:id="68" w:name="_Toc16938521"/>
      <w:bookmarkStart w:id="69" w:name="_Toc513029205"/>
      <w:r>
        <w:rPr>
          <w:rFonts w:ascii="Times New Roman" w:hAnsi="Times New Roman"/>
          <w:b w:val="0"/>
          <w:bCs w:val="0"/>
          <w:highlight w:val="none"/>
        </w:rPr>
        <w:t>2．合格的供应商</w:t>
      </w:r>
      <w:bookmarkEnd w:id="67"/>
      <w:bookmarkEnd w:id="68"/>
      <w:bookmarkEnd w:id="69"/>
    </w:p>
    <w:p w14:paraId="459F8AE7">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2.1第一部分招标邀请中供应商的资格要求；</w:t>
      </w:r>
    </w:p>
    <w:p w14:paraId="51876329">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2.2凡有能力按照招标文件规定的要求交付产品及服务的供应商均为合格的供应商。</w:t>
      </w:r>
    </w:p>
    <w:p w14:paraId="2A1C13DA">
      <w:pPr>
        <w:pStyle w:val="6"/>
        <w:spacing w:before="0" w:after="0" w:line="538" w:lineRule="exact"/>
        <w:ind w:right="-44" w:firstLine="490" w:firstLineChars="175"/>
        <w:rPr>
          <w:rFonts w:ascii="Times New Roman" w:hAnsi="Times New Roman"/>
          <w:b w:val="0"/>
          <w:bCs w:val="0"/>
          <w:highlight w:val="none"/>
        </w:rPr>
      </w:pPr>
      <w:bookmarkStart w:id="70" w:name="_Toc16938522"/>
      <w:bookmarkStart w:id="71" w:name="_Toc513029206"/>
      <w:bookmarkStart w:id="72" w:name="_Toc20823278"/>
      <w:r>
        <w:rPr>
          <w:rFonts w:ascii="Times New Roman" w:hAnsi="Times New Roman"/>
          <w:b w:val="0"/>
          <w:bCs w:val="0"/>
          <w:highlight w:val="none"/>
        </w:rPr>
        <w:t>3．适用法律</w:t>
      </w:r>
      <w:bookmarkEnd w:id="70"/>
      <w:bookmarkEnd w:id="71"/>
      <w:bookmarkEnd w:id="72"/>
    </w:p>
    <w:p w14:paraId="34A8FD77">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3.1本次招标及由本次招标产生的合同受中华人民共和国有关的法律法规制约和保护。</w:t>
      </w:r>
    </w:p>
    <w:p w14:paraId="309A50A2">
      <w:pPr>
        <w:pStyle w:val="6"/>
        <w:spacing w:before="0" w:after="0" w:line="538" w:lineRule="exact"/>
        <w:ind w:right="-44" w:firstLine="490" w:firstLineChars="175"/>
        <w:rPr>
          <w:rFonts w:ascii="Times New Roman" w:hAnsi="Times New Roman"/>
          <w:b w:val="0"/>
          <w:bCs w:val="0"/>
          <w:highlight w:val="none"/>
        </w:rPr>
      </w:pPr>
      <w:bookmarkStart w:id="73" w:name="_Toc20823279"/>
      <w:bookmarkStart w:id="74" w:name="_Toc16938523"/>
      <w:bookmarkStart w:id="75" w:name="_Toc513029207"/>
      <w:bookmarkStart w:id="76" w:name="_Toc462564067"/>
      <w:r>
        <w:rPr>
          <w:rFonts w:ascii="Times New Roman" w:hAnsi="Times New Roman"/>
          <w:b w:val="0"/>
          <w:bCs w:val="0"/>
          <w:highlight w:val="none"/>
        </w:rPr>
        <w:t>4．投标费用</w:t>
      </w:r>
      <w:bookmarkEnd w:id="73"/>
      <w:bookmarkEnd w:id="74"/>
      <w:bookmarkEnd w:id="75"/>
      <w:bookmarkEnd w:id="76"/>
    </w:p>
    <w:p w14:paraId="567164B3">
      <w:pPr>
        <w:spacing w:line="538" w:lineRule="exact"/>
        <w:ind w:firstLine="489" w:firstLineChars="204"/>
        <w:rPr>
          <w:rFonts w:ascii="Times New Roman" w:hAnsi="Times New Roman"/>
          <w:bCs/>
          <w:sz w:val="24"/>
          <w:highlight w:val="none"/>
        </w:rPr>
      </w:pPr>
      <w:bookmarkStart w:id="77" w:name="_Toc20823281"/>
      <w:bookmarkStart w:id="78" w:name="_Toc513029209"/>
      <w:bookmarkStart w:id="79" w:name="_Toc120614215"/>
      <w:bookmarkStart w:id="80" w:name="_Toc16938525"/>
      <w:r>
        <w:rPr>
          <w:rFonts w:ascii="Times New Roman" w:hAnsi="Times New Roman"/>
          <w:bCs/>
          <w:sz w:val="24"/>
          <w:highlight w:val="none"/>
        </w:rPr>
        <w:t>4.1供应商应自行承担所有与参加投标有关的费用，无论投标过程中的做法和结果如何，装备中心在任何情况下均无义务和责任承担这些费用。</w:t>
      </w:r>
    </w:p>
    <w:p w14:paraId="300ACDFA">
      <w:pPr>
        <w:spacing w:line="538" w:lineRule="exact"/>
        <w:ind w:firstLine="489" w:firstLineChars="204"/>
        <w:rPr>
          <w:rFonts w:ascii="Times New Roman" w:hAnsi="Times New Roman"/>
          <w:b/>
          <w:bCs w:val="0"/>
          <w:color w:val="FF0000"/>
          <w:sz w:val="24"/>
          <w:highlight w:val="none"/>
        </w:rPr>
      </w:pPr>
      <w:r>
        <w:rPr>
          <w:rFonts w:ascii="Times New Roman" w:hAnsi="Times New Roman"/>
          <w:bCs/>
          <w:color w:val="FF0000"/>
          <w:sz w:val="24"/>
          <w:highlight w:val="none"/>
        </w:rPr>
        <w:t>4.2</w:t>
      </w:r>
      <w:r>
        <w:rPr>
          <w:rFonts w:hint="eastAsia" w:ascii="Times New Roman" w:hAnsi="Times New Roman"/>
          <w:b/>
          <w:bCs w:val="0"/>
          <w:color w:val="FF0000"/>
          <w:sz w:val="24"/>
          <w:highlight w:val="none"/>
        </w:rPr>
        <w:t>本次</w:t>
      </w:r>
      <w:r>
        <w:rPr>
          <w:rFonts w:hint="eastAsia" w:ascii="Times New Roman" w:hAnsi="Times New Roman"/>
          <w:b/>
          <w:bCs w:val="0"/>
          <w:color w:val="FF0000"/>
          <w:sz w:val="24"/>
          <w:highlight w:val="none"/>
          <w:lang w:val="en-US" w:eastAsia="zh-CN"/>
        </w:rPr>
        <w:t>采购</w:t>
      </w:r>
      <w:r>
        <w:rPr>
          <w:rFonts w:hint="eastAsia" w:ascii="Times New Roman" w:hAnsi="Times New Roman"/>
          <w:b/>
          <w:bCs w:val="0"/>
          <w:color w:val="FF0000"/>
          <w:sz w:val="24"/>
          <w:highlight w:val="none"/>
        </w:rPr>
        <w:t>装备中心收取</w:t>
      </w:r>
      <w:r>
        <w:rPr>
          <w:rFonts w:hint="eastAsia"/>
          <w:b/>
          <w:bCs w:val="0"/>
          <w:color w:val="FF0000"/>
          <w:sz w:val="24"/>
          <w:highlight w:val="none"/>
          <w:lang w:val="en-US" w:eastAsia="zh-CN"/>
        </w:rPr>
        <w:t>中标</w:t>
      </w:r>
      <w:r>
        <w:rPr>
          <w:rFonts w:hint="eastAsia" w:ascii="Times New Roman" w:hAnsi="Times New Roman"/>
          <w:b/>
          <w:bCs w:val="0"/>
          <w:color w:val="FF0000"/>
          <w:sz w:val="24"/>
          <w:highlight w:val="none"/>
        </w:rPr>
        <w:t>服务费</w:t>
      </w:r>
      <w:r>
        <w:rPr>
          <w:rFonts w:hint="eastAsia" w:ascii="Times New Roman" w:hAnsi="Times New Roman"/>
          <w:b/>
          <w:bCs w:val="0"/>
          <w:color w:val="FF0000"/>
          <w:sz w:val="24"/>
          <w:highlight w:val="none"/>
          <w:lang w:val="en-US" w:eastAsia="zh-CN"/>
        </w:rPr>
        <w:t>。</w:t>
      </w:r>
      <w:r>
        <w:rPr>
          <w:rFonts w:hint="eastAsia" w:ascii="Times New Roman" w:hAnsi="Times New Roman"/>
          <w:b/>
          <w:bCs w:val="0"/>
          <w:color w:val="FF0000"/>
          <w:sz w:val="24"/>
          <w:highlight w:val="none"/>
        </w:rPr>
        <w:t>按照苏政采协[2024]20号</w:t>
      </w:r>
      <w:r>
        <w:rPr>
          <w:rFonts w:hint="eastAsia" w:ascii="Times New Roman" w:hAnsi="Times New Roman"/>
          <w:b/>
          <w:bCs w:val="0"/>
          <w:color w:val="FF0000"/>
          <w:sz w:val="24"/>
          <w:highlight w:val="none"/>
          <w:lang w:val="zh-CN"/>
        </w:rPr>
        <w:t>文的规定收取，由</w:t>
      </w:r>
      <w:r>
        <w:rPr>
          <w:rFonts w:hint="eastAsia"/>
          <w:b/>
          <w:bCs w:val="0"/>
          <w:color w:val="FF0000"/>
          <w:sz w:val="24"/>
          <w:highlight w:val="none"/>
          <w:lang w:val="en-US" w:eastAsia="zh-CN"/>
        </w:rPr>
        <w:t>中标</w:t>
      </w:r>
      <w:r>
        <w:rPr>
          <w:rFonts w:hint="eastAsia" w:ascii="Times New Roman" w:hAnsi="Times New Roman"/>
          <w:b/>
          <w:bCs w:val="0"/>
          <w:color w:val="FF0000"/>
          <w:sz w:val="24"/>
          <w:highlight w:val="none"/>
          <w:lang w:val="zh-CN"/>
        </w:rPr>
        <w:t>供应商领取</w:t>
      </w:r>
      <w:r>
        <w:rPr>
          <w:rFonts w:hint="eastAsia"/>
          <w:b/>
          <w:bCs w:val="0"/>
          <w:color w:val="FF0000"/>
          <w:sz w:val="24"/>
          <w:highlight w:val="none"/>
          <w:lang w:val="en-US" w:eastAsia="zh-CN"/>
        </w:rPr>
        <w:t>中标</w:t>
      </w:r>
      <w:r>
        <w:rPr>
          <w:rFonts w:hint="eastAsia" w:ascii="Times New Roman" w:hAnsi="Times New Roman"/>
          <w:b/>
          <w:bCs w:val="0"/>
          <w:color w:val="FF0000"/>
          <w:sz w:val="24"/>
          <w:highlight w:val="none"/>
          <w:lang w:val="zh-CN"/>
        </w:rPr>
        <w:t>通知书时一次性向</w:t>
      </w:r>
      <w:r>
        <w:rPr>
          <w:rFonts w:hint="eastAsia" w:ascii="Times New Roman" w:hAnsi="Times New Roman"/>
          <w:b/>
          <w:bCs w:val="0"/>
          <w:color w:val="FF0000"/>
          <w:sz w:val="24"/>
          <w:highlight w:val="none"/>
          <w:lang w:val="en-US" w:eastAsia="zh-CN"/>
        </w:rPr>
        <w:t>装备中心</w:t>
      </w:r>
      <w:r>
        <w:rPr>
          <w:rFonts w:hint="eastAsia" w:ascii="Times New Roman" w:hAnsi="Times New Roman"/>
          <w:b/>
          <w:bCs w:val="0"/>
          <w:color w:val="FF0000"/>
          <w:sz w:val="24"/>
          <w:highlight w:val="none"/>
          <w:lang w:val="zh-CN"/>
        </w:rPr>
        <w:t>支付。本项费用无需在报价表中单列</w:t>
      </w:r>
      <w:r>
        <w:rPr>
          <w:rFonts w:hint="eastAsia" w:ascii="Times New Roman" w:hAnsi="Times New Roman"/>
          <w:b/>
          <w:bCs w:val="0"/>
          <w:color w:val="FF0000"/>
          <w:sz w:val="24"/>
          <w:highlight w:val="none"/>
        </w:rPr>
        <w:t>。</w:t>
      </w:r>
    </w:p>
    <w:p w14:paraId="7ED8CB0C">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4.3装备中心对未中标者不予补偿。</w:t>
      </w:r>
    </w:p>
    <w:p w14:paraId="2B744DB7">
      <w:pPr>
        <w:pStyle w:val="6"/>
        <w:spacing w:before="0" w:after="0" w:line="538" w:lineRule="exact"/>
        <w:ind w:right="-44" w:firstLine="490" w:firstLineChars="175"/>
        <w:rPr>
          <w:rFonts w:ascii="Times New Roman" w:hAnsi="Times New Roman"/>
          <w:b w:val="0"/>
          <w:bCs w:val="0"/>
          <w:highlight w:val="none"/>
        </w:rPr>
      </w:pPr>
      <w:r>
        <w:rPr>
          <w:rFonts w:ascii="Times New Roman" w:hAnsi="Times New Roman"/>
          <w:b w:val="0"/>
          <w:bCs w:val="0"/>
          <w:highlight w:val="none"/>
        </w:rPr>
        <w:t>5．招标文件的约束力</w:t>
      </w:r>
    </w:p>
    <w:p w14:paraId="33A34D99">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5.1供应商一旦下载了本招标文件并决定参加投标，即被认为接受了本招标文件的规定和约束，并且视为自招标公告发布之日起已经知道或应当知道自身权益是否受到了损害。</w:t>
      </w:r>
    </w:p>
    <w:p w14:paraId="323C9052">
      <w:pPr>
        <w:pStyle w:val="5"/>
        <w:spacing w:before="0" w:after="0" w:line="538" w:lineRule="exact"/>
        <w:ind w:firstLine="482" w:firstLineChars="150"/>
        <w:rPr>
          <w:highlight w:val="none"/>
        </w:rPr>
      </w:pPr>
      <w:r>
        <w:rPr>
          <w:highlight w:val="none"/>
        </w:rPr>
        <w:t>二、招标文件</w:t>
      </w:r>
      <w:bookmarkEnd w:id="77"/>
      <w:bookmarkEnd w:id="78"/>
      <w:bookmarkEnd w:id="79"/>
      <w:bookmarkEnd w:id="80"/>
    </w:p>
    <w:p w14:paraId="2AE7C8FD">
      <w:pPr>
        <w:pStyle w:val="6"/>
        <w:spacing w:before="0" w:after="0" w:line="538" w:lineRule="exact"/>
        <w:ind w:right="-44" w:firstLine="490" w:firstLineChars="175"/>
        <w:rPr>
          <w:rFonts w:ascii="Times New Roman" w:hAnsi="Times New Roman"/>
          <w:b w:val="0"/>
          <w:bCs w:val="0"/>
          <w:highlight w:val="none"/>
        </w:rPr>
      </w:pPr>
      <w:bookmarkStart w:id="81" w:name="_Toc513029210"/>
      <w:bookmarkStart w:id="82" w:name="_Toc16938526"/>
      <w:bookmarkStart w:id="83" w:name="_Toc20823282"/>
      <w:r>
        <w:rPr>
          <w:rFonts w:ascii="Times New Roman" w:hAnsi="Times New Roman"/>
          <w:b w:val="0"/>
          <w:bCs w:val="0"/>
          <w:highlight w:val="none"/>
        </w:rPr>
        <w:t>6．招标文件构成</w:t>
      </w:r>
      <w:bookmarkEnd w:id="81"/>
      <w:bookmarkEnd w:id="82"/>
      <w:bookmarkEnd w:id="83"/>
    </w:p>
    <w:p w14:paraId="1A85BA95">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6.1招标文件由以下部分组成：</w:t>
      </w:r>
    </w:p>
    <w:p w14:paraId="1C9A2666">
      <w:pPr>
        <w:spacing w:line="538" w:lineRule="exact"/>
        <w:ind w:firstLine="489" w:firstLineChars="204"/>
        <w:rPr>
          <w:rFonts w:ascii="Times New Roman" w:hAnsi="Times New Roman"/>
          <w:bCs/>
          <w:sz w:val="24"/>
          <w:highlight w:val="none"/>
        </w:rPr>
      </w:pPr>
      <w:r>
        <w:rPr>
          <w:rFonts w:hint="eastAsia" w:ascii="Times New Roman" w:hAnsi="Times New Roman"/>
          <w:bCs/>
          <w:sz w:val="24"/>
          <w:highlight w:val="none"/>
        </w:rPr>
        <w:t>6.1.1</w:t>
      </w:r>
      <w:r>
        <w:rPr>
          <w:rFonts w:ascii="Times New Roman" w:hAnsi="Times New Roman"/>
          <w:bCs/>
          <w:sz w:val="24"/>
          <w:highlight w:val="none"/>
        </w:rPr>
        <w:t>招标邀请</w:t>
      </w:r>
    </w:p>
    <w:p w14:paraId="0799FA30">
      <w:pPr>
        <w:spacing w:line="538" w:lineRule="exact"/>
        <w:ind w:firstLine="489" w:firstLineChars="204"/>
        <w:rPr>
          <w:rFonts w:ascii="Times New Roman" w:hAnsi="Times New Roman"/>
          <w:bCs/>
          <w:sz w:val="24"/>
          <w:highlight w:val="none"/>
        </w:rPr>
      </w:pPr>
      <w:r>
        <w:rPr>
          <w:rFonts w:hint="eastAsia" w:ascii="Times New Roman" w:hAnsi="Times New Roman"/>
          <w:bCs/>
          <w:sz w:val="24"/>
          <w:highlight w:val="none"/>
        </w:rPr>
        <w:t>6.1.2</w:t>
      </w:r>
      <w:r>
        <w:rPr>
          <w:rFonts w:ascii="Times New Roman" w:hAnsi="Times New Roman"/>
          <w:bCs/>
          <w:sz w:val="24"/>
          <w:highlight w:val="none"/>
        </w:rPr>
        <w:t>供应商须知</w:t>
      </w:r>
    </w:p>
    <w:p w14:paraId="7AB8ACEA">
      <w:pPr>
        <w:spacing w:line="538" w:lineRule="exact"/>
        <w:ind w:firstLine="489" w:firstLineChars="204"/>
        <w:rPr>
          <w:rFonts w:ascii="Times New Roman" w:hAnsi="Times New Roman"/>
          <w:bCs/>
          <w:sz w:val="24"/>
          <w:highlight w:val="none"/>
        </w:rPr>
      </w:pPr>
      <w:r>
        <w:rPr>
          <w:rFonts w:hint="eastAsia" w:ascii="Times New Roman" w:hAnsi="Times New Roman"/>
          <w:bCs/>
          <w:sz w:val="24"/>
          <w:highlight w:val="none"/>
        </w:rPr>
        <w:t>6.1.3</w:t>
      </w:r>
      <w:r>
        <w:rPr>
          <w:rFonts w:ascii="Times New Roman" w:hAnsi="Times New Roman"/>
          <w:bCs/>
          <w:sz w:val="24"/>
          <w:highlight w:val="none"/>
        </w:rPr>
        <w:t>合同条款及格式</w:t>
      </w:r>
    </w:p>
    <w:p w14:paraId="31A59974">
      <w:pPr>
        <w:spacing w:line="538" w:lineRule="exact"/>
        <w:ind w:firstLine="489" w:firstLineChars="204"/>
        <w:rPr>
          <w:rFonts w:ascii="Times New Roman" w:hAnsi="Times New Roman"/>
          <w:bCs/>
          <w:sz w:val="24"/>
          <w:highlight w:val="none"/>
        </w:rPr>
      </w:pPr>
      <w:r>
        <w:rPr>
          <w:rFonts w:hint="eastAsia" w:ascii="Times New Roman" w:hAnsi="Times New Roman"/>
          <w:bCs/>
          <w:sz w:val="24"/>
          <w:highlight w:val="none"/>
        </w:rPr>
        <w:t>6.1.4</w:t>
      </w:r>
      <w:r>
        <w:rPr>
          <w:rFonts w:ascii="Times New Roman" w:hAnsi="Times New Roman"/>
          <w:bCs/>
          <w:sz w:val="24"/>
          <w:highlight w:val="none"/>
        </w:rPr>
        <w:t>项目需求</w:t>
      </w:r>
    </w:p>
    <w:p w14:paraId="7465A049">
      <w:pPr>
        <w:spacing w:line="538" w:lineRule="exact"/>
        <w:ind w:firstLine="489" w:firstLineChars="204"/>
        <w:rPr>
          <w:rFonts w:ascii="Times New Roman" w:hAnsi="Times New Roman"/>
          <w:bCs/>
          <w:sz w:val="24"/>
          <w:highlight w:val="none"/>
        </w:rPr>
      </w:pPr>
      <w:r>
        <w:rPr>
          <w:rFonts w:hint="eastAsia" w:ascii="Times New Roman" w:hAnsi="Times New Roman"/>
          <w:bCs/>
          <w:sz w:val="24"/>
          <w:highlight w:val="none"/>
        </w:rPr>
        <w:t>6.1.5</w:t>
      </w:r>
      <w:r>
        <w:rPr>
          <w:rFonts w:ascii="Times New Roman" w:hAnsi="Times New Roman"/>
          <w:bCs/>
          <w:sz w:val="24"/>
          <w:highlight w:val="none"/>
        </w:rPr>
        <w:t>评标方法与评标标准</w:t>
      </w:r>
    </w:p>
    <w:p w14:paraId="792CE5B9">
      <w:pPr>
        <w:spacing w:line="538" w:lineRule="exact"/>
        <w:ind w:firstLine="489" w:firstLineChars="204"/>
        <w:rPr>
          <w:rFonts w:ascii="Times New Roman" w:hAnsi="Times New Roman"/>
          <w:bCs/>
          <w:sz w:val="24"/>
          <w:highlight w:val="none"/>
        </w:rPr>
      </w:pPr>
      <w:r>
        <w:rPr>
          <w:rFonts w:hint="eastAsia" w:ascii="Times New Roman" w:hAnsi="Times New Roman"/>
          <w:bCs/>
          <w:sz w:val="24"/>
          <w:highlight w:val="none"/>
        </w:rPr>
        <w:t>6.1.6</w:t>
      </w:r>
      <w:r>
        <w:rPr>
          <w:rFonts w:ascii="Times New Roman" w:hAnsi="Times New Roman"/>
          <w:bCs/>
          <w:sz w:val="24"/>
          <w:highlight w:val="none"/>
        </w:rPr>
        <w:t>投标文件格式</w:t>
      </w:r>
    </w:p>
    <w:p w14:paraId="222A73BE">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供应商应请仔细检查招标文件是否齐全，如有缺漏请立即与装备中心联系解决。</w:t>
      </w:r>
    </w:p>
    <w:p w14:paraId="5D3D2DC8">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6.2供应商应认真阅读招标文件中所有的事项、格式、条款和规范等要求。按招标文件要求和规定编制投标文件，并保证所提供的全部资料的真实性、完整性及有效性，以使其投标文件对招标文件做出实质性响应，否则，其风险应由供应商自行承担。</w:t>
      </w:r>
    </w:p>
    <w:p w14:paraId="0729A428">
      <w:pPr>
        <w:pStyle w:val="6"/>
        <w:spacing w:before="0" w:after="0" w:line="538" w:lineRule="exact"/>
        <w:ind w:right="-44" w:firstLine="490" w:firstLineChars="175"/>
        <w:rPr>
          <w:rFonts w:ascii="Times New Roman" w:hAnsi="Times New Roman"/>
          <w:b w:val="0"/>
          <w:bCs w:val="0"/>
          <w:highlight w:val="none"/>
        </w:rPr>
      </w:pPr>
      <w:bookmarkStart w:id="84" w:name="_Toc16938527"/>
      <w:bookmarkStart w:id="85" w:name="_Toc20823283"/>
      <w:bookmarkStart w:id="86" w:name="_Toc513029211"/>
      <w:bookmarkStart w:id="87" w:name="_Toc462564070"/>
      <w:r>
        <w:rPr>
          <w:rFonts w:ascii="Times New Roman" w:hAnsi="Times New Roman"/>
          <w:b w:val="0"/>
          <w:bCs w:val="0"/>
          <w:highlight w:val="none"/>
        </w:rPr>
        <w:t>7．招标文件的澄清</w:t>
      </w:r>
      <w:bookmarkEnd w:id="84"/>
      <w:bookmarkEnd w:id="85"/>
      <w:bookmarkEnd w:id="86"/>
      <w:bookmarkEnd w:id="87"/>
    </w:p>
    <w:p w14:paraId="6BF12BD5">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7.1任何要求对招标文件进行澄清的供应商，均应在投标截止期十五日前按招标邀请中的通讯地址，以书面形式通知装备中心，澄清要求需加盖单位公章。装备中心将以书面形式予以答复（邮寄或传真）。由于供应商所留联系方式有问题而导致装备中心无法通知的其责任由供应商自行承担。（逾期递交对招标文件要求进行澄清的装备中心将不予受理）。</w:t>
      </w:r>
    </w:p>
    <w:p w14:paraId="5B8FF331">
      <w:pPr>
        <w:pStyle w:val="6"/>
        <w:spacing w:before="0" w:after="0" w:line="538" w:lineRule="exact"/>
        <w:ind w:right="-44" w:firstLine="490" w:firstLineChars="175"/>
        <w:rPr>
          <w:rFonts w:ascii="Times New Roman" w:hAnsi="Times New Roman"/>
          <w:b w:val="0"/>
          <w:bCs w:val="0"/>
          <w:highlight w:val="none"/>
        </w:rPr>
      </w:pPr>
      <w:bookmarkStart w:id="88" w:name="_Toc513029212"/>
      <w:bookmarkStart w:id="89" w:name="_Toc16938528"/>
      <w:bookmarkStart w:id="90" w:name="_Toc20823284"/>
      <w:bookmarkStart w:id="91" w:name="_Toc462564071"/>
      <w:r>
        <w:rPr>
          <w:rFonts w:ascii="Times New Roman" w:hAnsi="Times New Roman"/>
          <w:b w:val="0"/>
          <w:bCs w:val="0"/>
          <w:highlight w:val="none"/>
        </w:rPr>
        <w:t>8．招标文件的修改</w:t>
      </w:r>
      <w:bookmarkEnd w:id="88"/>
      <w:bookmarkEnd w:id="89"/>
      <w:bookmarkEnd w:id="90"/>
      <w:bookmarkEnd w:id="91"/>
    </w:p>
    <w:p w14:paraId="7B6B87C7">
      <w:pPr>
        <w:spacing w:line="538" w:lineRule="exact"/>
        <w:ind w:firstLine="489" w:firstLineChars="204"/>
        <w:rPr>
          <w:rFonts w:ascii="Times New Roman" w:hAnsi="Times New Roman"/>
          <w:bCs/>
          <w:sz w:val="24"/>
          <w:highlight w:val="none"/>
        </w:rPr>
      </w:pPr>
      <w:bookmarkStart w:id="92" w:name="_Toc462564072"/>
      <w:bookmarkStart w:id="93" w:name="_Toc16938529"/>
      <w:bookmarkStart w:id="94" w:name="_Toc120614216"/>
      <w:bookmarkStart w:id="95" w:name="_Toc20823285"/>
      <w:bookmarkStart w:id="96" w:name="_Toc513029213"/>
      <w:r>
        <w:rPr>
          <w:rFonts w:ascii="Times New Roman" w:hAnsi="Times New Roman"/>
          <w:bCs/>
          <w:sz w:val="24"/>
          <w:highlight w:val="none"/>
        </w:rPr>
        <w:t>8.1在投标截止时间前，装备中心均可以对招标文件进行修改。</w:t>
      </w:r>
    </w:p>
    <w:p w14:paraId="542046AE">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8.2装备中心有权按照法定的要求推迟投标截止日期和开标日期。</w:t>
      </w:r>
    </w:p>
    <w:p w14:paraId="7B1B2E75">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8.3招标文件的修改将在江苏政府采购网公布，补充文件将作为招标文件的组成部分，并对供应商具有约束力。</w:t>
      </w:r>
    </w:p>
    <w:p w14:paraId="19264C56">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8.4如果装备中心前后发放的招标文件以及补充文件内容不一致或相互抵触，则以后发出的补充文件为准。</w:t>
      </w:r>
    </w:p>
    <w:p w14:paraId="25E7B8B4">
      <w:pPr>
        <w:pStyle w:val="5"/>
        <w:spacing w:before="0" w:after="0" w:line="538" w:lineRule="exact"/>
        <w:ind w:firstLine="482" w:firstLineChars="150"/>
        <w:rPr>
          <w:highlight w:val="none"/>
        </w:rPr>
      </w:pPr>
      <w:r>
        <w:rPr>
          <w:highlight w:val="none"/>
        </w:rPr>
        <w:t>三、投标文件的编制</w:t>
      </w:r>
      <w:bookmarkEnd w:id="92"/>
      <w:bookmarkEnd w:id="93"/>
      <w:bookmarkEnd w:id="94"/>
      <w:bookmarkEnd w:id="95"/>
      <w:bookmarkEnd w:id="96"/>
    </w:p>
    <w:p w14:paraId="782309CF">
      <w:pPr>
        <w:pStyle w:val="6"/>
        <w:spacing w:before="0" w:after="0" w:line="538" w:lineRule="exact"/>
        <w:ind w:right="-44" w:firstLine="490" w:firstLineChars="175"/>
        <w:rPr>
          <w:rFonts w:ascii="Times New Roman" w:hAnsi="Times New Roman"/>
          <w:b w:val="0"/>
          <w:bCs w:val="0"/>
          <w:highlight w:val="none"/>
        </w:rPr>
      </w:pPr>
      <w:bookmarkStart w:id="97" w:name="_Toc20823286"/>
      <w:bookmarkStart w:id="98" w:name="_Toc16938530"/>
      <w:bookmarkStart w:id="99" w:name="_Toc462564073"/>
      <w:bookmarkStart w:id="100" w:name="_Toc513029214"/>
      <w:r>
        <w:rPr>
          <w:rFonts w:ascii="Times New Roman" w:hAnsi="Times New Roman"/>
          <w:b w:val="0"/>
          <w:bCs w:val="0"/>
          <w:highlight w:val="none"/>
        </w:rPr>
        <w:t>9．投标语言及度量衡单位</w:t>
      </w:r>
      <w:bookmarkEnd w:id="97"/>
      <w:bookmarkEnd w:id="98"/>
      <w:bookmarkEnd w:id="99"/>
      <w:bookmarkEnd w:id="100"/>
    </w:p>
    <w:p w14:paraId="29F6AF24">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9.1供应商提交的投标文件以及供应商与装备中心就有关投标的所有来往通知、函件和文件均应使用</w:t>
      </w:r>
      <w:r>
        <w:rPr>
          <w:rFonts w:ascii="Times New Roman" w:hAnsi="Times New Roman"/>
          <w:b/>
          <w:bCs/>
          <w:sz w:val="24"/>
          <w:highlight w:val="none"/>
        </w:rPr>
        <w:t>简体中文</w:t>
      </w:r>
      <w:r>
        <w:rPr>
          <w:rFonts w:ascii="Times New Roman" w:hAnsi="Times New Roman"/>
          <w:bCs/>
          <w:sz w:val="24"/>
          <w:highlight w:val="none"/>
        </w:rPr>
        <w:t>。</w:t>
      </w:r>
    </w:p>
    <w:p w14:paraId="31B5DCEA">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9.2除技术性能另有规定外，投标文件所使用的度量衡单位，均须采用国家法定计量单位。</w:t>
      </w:r>
    </w:p>
    <w:p w14:paraId="02E222B0">
      <w:pPr>
        <w:pStyle w:val="6"/>
        <w:spacing w:before="0" w:after="0" w:line="538" w:lineRule="exact"/>
        <w:ind w:right="-44" w:firstLine="490" w:firstLineChars="175"/>
        <w:rPr>
          <w:rFonts w:ascii="Times New Roman" w:hAnsi="Times New Roman"/>
          <w:b w:val="0"/>
          <w:bCs w:val="0"/>
          <w:highlight w:val="none"/>
        </w:rPr>
      </w:pPr>
      <w:bookmarkStart w:id="101" w:name="_Toc16938531"/>
      <w:bookmarkStart w:id="102" w:name="_Toc513029215"/>
      <w:bookmarkStart w:id="103" w:name="_Toc20823287"/>
      <w:bookmarkStart w:id="104" w:name="_Toc462564074"/>
      <w:r>
        <w:rPr>
          <w:rFonts w:ascii="Times New Roman" w:hAnsi="Times New Roman"/>
          <w:b w:val="0"/>
          <w:bCs w:val="0"/>
          <w:highlight w:val="none"/>
        </w:rPr>
        <w:t>10．投标文件构成</w:t>
      </w:r>
      <w:bookmarkEnd w:id="101"/>
      <w:bookmarkEnd w:id="102"/>
      <w:bookmarkEnd w:id="103"/>
      <w:bookmarkEnd w:id="104"/>
    </w:p>
    <w:p w14:paraId="3DAC6E94">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10.1供应商编写的投标文件应包括资信证明文件、投标配置与分项报价表、供货一览表、技术参数响应及偏离表、商务条款响应及偏离表、技术及售后服务承诺书、投标函、开标一览表等部分。</w:t>
      </w:r>
    </w:p>
    <w:p w14:paraId="52F12DFC">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10.2供应商应将投标文件按顺序装订成册，并编制投标文件资料目录。</w:t>
      </w:r>
    </w:p>
    <w:p w14:paraId="259373DE">
      <w:pPr>
        <w:pStyle w:val="6"/>
        <w:spacing w:before="0" w:after="0" w:line="538" w:lineRule="exact"/>
        <w:ind w:right="-44" w:firstLine="490" w:firstLineChars="175"/>
        <w:rPr>
          <w:rFonts w:ascii="Times New Roman" w:hAnsi="Times New Roman"/>
          <w:b w:val="0"/>
          <w:bCs w:val="0"/>
          <w:highlight w:val="none"/>
        </w:rPr>
      </w:pPr>
      <w:bookmarkStart w:id="105" w:name="_Toc513029219"/>
      <w:bookmarkStart w:id="106" w:name="_Toc14577357"/>
      <w:bookmarkStart w:id="107" w:name="_Toc49090509"/>
      <w:bookmarkStart w:id="108" w:name="_Toc513029216"/>
      <w:bookmarkStart w:id="109" w:name="_Toc14577354"/>
      <w:bookmarkStart w:id="110" w:name="_Toc49090507"/>
      <w:r>
        <w:rPr>
          <w:rFonts w:ascii="Times New Roman" w:hAnsi="Times New Roman"/>
          <w:b w:val="0"/>
          <w:bCs w:val="0"/>
          <w:highlight w:val="none"/>
        </w:rPr>
        <w:t>11．证明供应商资格及符合招标文件规定的文件</w:t>
      </w:r>
      <w:bookmarkEnd w:id="105"/>
      <w:bookmarkEnd w:id="106"/>
      <w:bookmarkEnd w:id="107"/>
    </w:p>
    <w:p w14:paraId="301E5F46">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11.1供应商应按要求提交资格证明文件及符合招标文件规定的文件。</w:t>
      </w:r>
    </w:p>
    <w:p w14:paraId="71E1B22D">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11.2供应商应提交证明其有资格参加投标和中标后有能力独立履行合同的文件。</w:t>
      </w:r>
    </w:p>
    <w:p w14:paraId="08B893DA">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11.3供应商除必须具有履行合同所需提供的货物以及服务的能力外，还必须具备相应的财务、技术方面的能力。</w:t>
      </w:r>
    </w:p>
    <w:p w14:paraId="3AF8B4EC">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11.4供应商应提交根据合同要求提供的证明产品质量合格以及符合招标文件规定的证明文件。</w:t>
      </w:r>
    </w:p>
    <w:p w14:paraId="5BF0B431">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11.5证明供应商所提供货物与招标文件的要求相一致的文件可以是手册、图纸、文字资料和数据。</w:t>
      </w:r>
    </w:p>
    <w:bookmarkEnd w:id="108"/>
    <w:bookmarkEnd w:id="109"/>
    <w:bookmarkEnd w:id="110"/>
    <w:p w14:paraId="211D092D">
      <w:pPr>
        <w:pStyle w:val="6"/>
        <w:spacing w:before="0" w:after="0" w:line="538" w:lineRule="exact"/>
        <w:ind w:right="-44" w:firstLine="490" w:firstLineChars="175"/>
        <w:rPr>
          <w:rFonts w:ascii="Times New Roman" w:hAnsi="Times New Roman"/>
          <w:b w:val="0"/>
          <w:bCs w:val="0"/>
          <w:highlight w:val="none"/>
        </w:rPr>
      </w:pPr>
      <w:bookmarkStart w:id="111" w:name="_Toc14577355"/>
      <w:bookmarkStart w:id="112" w:name="_Toc49090508"/>
      <w:r>
        <w:rPr>
          <w:rFonts w:ascii="Times New Roman" w:hAnsi="Times New Roman"/>
          <w:b w:val="0"/>
          <w:bCs w:val="0"/>
          <w:highlight w:val="none"/>
        </w:rPr>
        <w:t>12．供货一览表和投标配置与分项报价</w:t>
      </w:r>
      <w:bookmarkEnd w:id="111"/>
      <w:r>
        <w:rPr>
          <w:rFonts w:ascii="Times New Roman" w:hAnsi="Times New Roman"/>
          <w:b w:val="0"/>
          <w:bCs w:val="0"/>
          <w:highlight w:val="none"/>
        </w:rPr>
        <w:t>表</w:t>
      </w:r>
      <w:bookmarkEnd w:id="112"/>
    </w:p>
    <w:p w14:paraId="05D1360D">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12.1 供应商应按照招标文件规定格式填报供货一览表、投标配置与分项报价表，在表中标明所提供的设备品牌、规格、型号、主要部件型号及其功能的中文说明和供货期。每项货物和服务等只允许有一个报价，任何有选择的报价将不予接受(如有备选配件，备选配件的报价不属于选择的报价)。</w:t>
      </w:r>
    </w:p>
    <w:p w14:paraId="20A690F9">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12.2 标的物</w:t>
      </w:r>
    </w:p>
    <w:p w14:paraId="4A976B38">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采购人需求的货物供应、安装，调试及有关技术服务等。</w:t>
      </w:r>
    </w:p>
    <w:p w14:paraId="43C2B83F">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12.3有关费用处理</w:t>
      </w:r>
    </w:p>
    <w:p w14:paraId="0B9A44EE">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招标报价采用总承包方式，供应商的报价应包括所投产品费用、安装调试费、测试验收费、培训费、运行维护费用、税金、国际国内运输保险、报关清关、开证、办理全套免税手续费用及其他有关的为完成本项目发生的所有费用，招标文件中另有规定的除外。</w:t>
      </w:r>
    </w:p>
    <w:p w14:paraId="4DED47EB">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12.4其它费用处理</w:t>
      </w:r>
    </w:p>
    <w:p w14:paraId="6F328B1B">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招标文件未列明，而供应商认为必需的费用也需列入报价。</w:t>
      </w:r>
    </w:p>
    <w:p w14:paraId="582FA083">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12.5投标货币</w:t>
      </w:r>
    </w:p>
    <w:p w14:paraId="7CB26381">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投标文件中的货物单价和总价无特殊规定的采用人民币报价，以元为单位标注。招标文件中另有规定的按规定执行。</w:t>
      </w:r>
    </w:p>
    <w:p w14:paraId="05B254D4">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12.6 投标配置与分项报价表上的价格应按下列方式分开填写：</w:t>
      </w:r>
    </w:p>
    <w:p w14:paraId="61360E67">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12.6.1项目总价：包括采购人需求的货物价格、质量保证费用、培训费用及售后服务费用，项目在指定地点、环境交付、安装、调试、验收所需费用和所有相关税金费用及为完成整个项目所产生的其它所有费用。</w:t>
      </w:r>
    </w:p>
    <w:p w14:paraId="2AD1BF12">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12.6.2项目单价按投标配置及分项报价表中要求填报。</w:t>
      </w:r>
    </w:p>
    <w:p w14:paraId="5DDC0554">
      <w:pPr>
        <w:pStyle w:val="6"/>
        <w:spacing w:before="0" w:after="0" w:line="538" w:lineRule="exact"/>
        <w:ind w:right="-44" w:firstLine="490" w:firstLineChars="175"/>
        <w:rPr>
          <w:rFonts w:ascii="Times New Roman" w:hAnsi="Times New Roman"/>
          <w:b w:val="0"/>
          <w:bCs w:val="0"/>
          <w:highlight w:val="none"/>
        </w:rPr>
      </w:pPr>
      <w:r>
        <w:rPr>
          <w:rFonts w:ascii="Times New Roman" w:hAnsi="Times New Roman"/>
          <w:b w:val="0"/>
          <w:bCs w:val="0"/>
          <w:highlight w:val="none"/>
        </w:rPr>
        <w:t>13．技术参数响应及偏离表、商务条款响应及偏离表及投标货物说明</w:t>
      </w:r>
    </w:p>
    <w:p w14:paraId="51AAD963">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13.1对招标文件中的技术与商务条款要求逐项做出响应或偏离，并说明原因；</w:t>
      </w:r>
    </w:p>
    <w:p w14:paraId="207B94D6">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13.2提供参加本项目类似案例简介；</w:t>
      </w:r>
    </w:p>
    <w:p w14:paraId="4831DED2">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13.3培训计划；</w:t>
      </w:r>
    </w:p>
    <w:p w14:paraId="7599BA85">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13.4详细阐述所投货物的主要组成部分、功能设计、实现思路及关键技术；</w:t>
      </w:r>
    </w:p>
    <w:p w14:paraId="68D03978">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13.5供应商认为需要的其他技术文件或说明。</w:t>
      </w:r>
    </w:p>
    <w:p w14:paraId="007AF5DA">
      <w:pPr>
        <w:pStyle w:val="6"/>
        <w:spacing w:before="0" w:after="0" w:line="538" w:lineRule="exact"/>
        <w:ind w:right="-44" w:firstLine="490" w:firstLineChars="175"/>
        <w:rPr>
          <w:rFonts w:ascii="Times New Roman" w:hAnsi="Times New Roman"/>
          <w:b w:val="0"/>
          <w:bCs w:val="0"/>
          <w:highlight w:val="none"/>
        </w:rPr>
      </w:pPr>
      <w:r>
        <w:rPr>
          <w:rFonts w:ascii="Times New Roman" w:hAnsi="Times New Roman"/>
          <w:b w:val="0"/>
          <w:bCs w:val="0"/>
          <w:highlight w:val="none"/>
        </w:rPr>
        <w:t>14．服务承诺及售后服务机构、人员的情况介绍</w:t>
      </w:r>
    </w:p>
    <w:p w14:paraId="3D493194">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14.1供应商的服务承诺应按不低于招标文件中商务要求的标准。</w:t>
      </w:r>
    </w:p>
    <w:p w14:paraId="2C1CC420">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14.2提供供应商有关售后服务的管理制度、售后服务机构的分布情况、售后服务人员的数量、素质、技术水平及售后服务的反应能力。</w:t>
      </w:r>
    </w:p>
    <w:p w14:paraId="0CC14E87">
      <w:pPr>
        <w:pStyle w:val="6"/>
        <w:spacing w:before="0" w:after="0" w:line="538" w:lineRule="exact"/>
        <w:ind w:right="-44" w:firstLine="490" w:firstLineChars="175"/>
        <w:rPr>
          <w:rFonts w:ascii="Times New Roman" w:hAnsi="Times New Roman"/>
          <w:b w:val="0"/>
          <w:bCs w:val="0"/>
          <w:highlight w:val="none"/>
        </w:rPr>
      </w:pPr>
      <w:r>
        <w:rPr>
          <w:rFonts w:ascii="Times New Roman" w:hAnsi="Times New Roman"/>
          <w:b w:val="0"/>
          <w:bCs w:val="0"/>
          <w:highlight w:val="none"/>
        </w:rPr>
        <w:t>15．投标函和开标一览表</w:t>
      </w:r>
    </w:p>
    <w:p w14:paraId="7C4DA0F8">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15.1供应商应按照招标文件中提供的格式完整、正确填写投标函、开标一览表。</w:t>
      </w:r>
    </w:p>
    <w:p w14:paraId="500619FB">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15.2开标一览表中的价格应与投标文件中投标配置与分项报价表中的价格一致，如不一致，不作为无效投标处理，但评标时按开标一览表中价格为准。</w:t>
      </w:r>
    </w:p>
    <w:p w14:paraId="3F5114B2">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15.3</w:t>
      </w:r>
      <w:r>
        <w:rPr>
          <w:rFonts w:ascii="Times New Roman" w:hAnsi="Times New Roman"/>
          <w:bCs/>
          <w:i/>
          <w:sz w:val="24"/>
          <w:highlight w:val="none"/>
          <w:u w:val="single"/>
        </w:rPr>
        <w:t>开标一览表是投标文件的必要文件，是投标文件的组成部分，另外单独密封一份在信封中，与投标文件同时递交，否则视为无效投标。</w:t>
      </w:r>
    </w:p>
    <w:p w14:paraId="2C6A7B2C">
      <w:pPr>
        <w:spacing w:line="538" w:lineRule="exact"/>
        <w:ind w:firstLine="489" w:firstLineChars="204"/>
        <w:rPr>
          <w:rFonts w:ascii="Times New Roman" w:hAnsi="Times New Roman"/>
          <w:bCs/>
          <w:i/>
          <w:sz w:val="24"/>
          <w:highlight w:val="none"/>
          <w:u w:val="single"/>
        </w:rPr>
      </w:pPr>
      <w:r>
        <w:rPr>
          <w:rFonts w:hint="eastAsia" w:ascii="Times New Roman" w:hAnsi="Times New Roman"/>
          <w:bCs/>
          <w:sz w:val="24"/>
          <w:highlight w:val="none"/>
        </w:rPr>
        <w:t>15.4</w:t>
      </w:r>
      <w:r>
        <w:rPr>
          <w:rFonts w:ascii="Times New Roman" w:hAnsi="Times New Roman"/>
          <w:bCs/>
          <w:i/>
          <w:sz w:val="24"/>
          <w:highlight w:val="none"/>
          <w:u w:val="single"/>
        </w:rPr>
        <w:t>开标一览表必须加盖供应商公章，并经法定代表人或授权代表签字。</w:t>
      </w:r>
    </w:p>
    <w:p w14:paraId="12C41F0F">
      <w:pPr>
        <w:keepNext/>
        <w:keepLines/>
        <w:spacing w:line="538" w:lineRule="exact"/>
        <w:ind w:right="-44" w:firstLine="490" w:firstLineChars="175"/>
        <w:outlineLvl w:val="3"/>
        <w:rPr>
          <w:rFonts w:ascii="Times New Roman" w:hAnsi="Times New Roman" w:eastAsia="黑体"/>
          <w:sz w:val="28"/>
          <w:szCs w:val="28"/>
          <w:highlight w:val="none"/>
        </w:rPr>
      </w:pPr>
      <w:r>
        <w:rPr>
          <w:rFonts w:ascii="Times New Roman" w:hAnsi="Times New Roman" w:eastAsia="黑体"/>
          <w:sz w:val="28"/>
          <w:szCs w:val="28"/>
          <w:highlight w:val="none"/>
        </w:rPr>
        <w:t>16．</w:t>
      </w:r>
      <w:bookmarkStart w:id="113" w:name="_Toc49090511"/>
      <w:bookmarkStart w:id="114" w:name="_Toc14577360"/>
      <w:r>
        <w:rPr>
          <w:rFonts w:ascii="Times New Roman" w:hAnsi="Times New Roman" w:eastAsia="黑体"/>
          <w:sz w:val="28"/>
          <w:szCs w:val="28"/>
          <w:highlight w:val="none"/>
        </w:rPr>
        <w:t>投标有效期</w:t>
      </w:r>
      <w:bookmarkEnd w:id="113"/>
      <w:bookmarkEnd w:id="114"/>
    </w:p>
    <w:p w14:paraId="4097D970">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w:t>
      </w:r>
      <w:r>
        <w:rPr>
          <w:rFonts w:hint="eastAsia" w:ascii="Times New Roman" w:hAnsi="Times New Roman"/>
          <w:bCs/>
          <w:sz w:val="24"/>
          <w:highlight w:val="none"/>
        </w:rPr>
        <w:t>6</w:t>
      </w:r>
      <w:r>
        <w:rPr>
          <w:rFonts w:ascii="Times New Roman" w:hAnsi="Times New Roman"/>
          <w:bCs/>
          <w:sz w:val="24"/>
          <w:highlight w:val="none"/>
        </w:rPr>
        <w:t>.1投标有效期为装备中心规定的开标之日后六十（60）天。投标有效期比规定短的将被视为非响应性投标而予以拒绝。</w:t>
      </w:r>
    </w:p>
    <w:p w14:paraId="106AB453">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w:t>
      </w:r>
      <w:r>
        <w:rPr>
          <w:rFonts w:hint="eastAsia" w:ascii="Times New Roman" w:hAnsi="Times New Roman"/>
          <w:bCs/>
          <w:sz w:val="24"/>
          <w:highlight w:val="none"/>
        </w:rPr>
        <w:t>6</w:t>
      </w:r>
      <w:r>
        <w:rPr>
          <w:rFonts w:ascii="Times New Roman" w:hAnsi="Times New Roman"/>
          <w:bCs/>
          <w:sz w:val="24"/>
          <w:highlight w:val="none"/>
        </w:rPr>
        <w:t>.2在特殊情况下，装备中心于原投标有效期满之前，可向供应商提出延长投标有效期的要求。这种要求与答复均应采用书面形式（如信件、传真等）。供应商可以拒绝装备中心的这一要求而放弃投标。同意延长投标有效期的供应商既不能要求也不允许修改其投标文件。</w:t>
      </w:r>
    </w:p>
    <w:p w14:paraId="2819A6CD">
      <w:pPr>
        <w:keepNext/>
        <w:keepLines/>
        <w:spacing w:line="538" w:lineRule="exact"/>
        <w:ind w:right="-44" w:firstLine="490" w:firstLineChars="175"/>
        <w:outlineLvl w:val="3"/>
        <w:rPr>
          <w:rFonts w:ascii="Times New Roman" w:hAnsi="Times New Roman" w:eastAsia="黑体"/>
          <w:sz w:val="28"/>
          <w:szCs w:val="28"/>
          <w:highlight w:val="none"/>
        </w:rPr>
      </w:pPr>
      <w:bookmarkStart w:id="115" w:name="_Hlt26954852"/>
      <w:bookmarkEnd w:id="115"/>
      <w:bookmarkStart w:id="116" w:name="_Hlt26954739"/>
      <w:bookmarkEnd w:id="116"/>
      <w:bookmarkStart w:id="117" w:name="_Toc49090512"/>
      <w:bookmarkStart w:id="118" w:name="_Toc14577361"/>
      <w:r>
        <w:rPr>
          <w:rFonts w:ascii="Times New Roman" w:hAnsi="Times New Roman" w:eastAsia="黑体"/>
          <w:sz w:val="28"/>
          <w:szCs w:val="28"/>
          <w:highlight w:val="none"/>
        </w:rPr>
        <w:t>1</w:t>
      </w:r>
      <w:r>
        <w:rPr>
          <w:rFonts w:hint="eastAsia" w:ascii="Times New Roman" w:hAnsi="Times New Roman" w:eastAsia="黑体"/>
          <w:sz w:val="28"/>
          <w:szCs w:val="28"/>
          <w:highlight w:val="none"/>
        </w:rPr>
        <w:t>7</w:t>
      </w:r>
      <w:r>
        <w:rPr>
          <w:rFonts w:ascii="Times New Roman" w:hAnsi="Times New Roman" w:eastAsia="黑体"/>
          <w:sz w:val="28"/>
          <w:szCs w:val="28"/>
          <w:highlight w:val="none"/>
        </w:rPr>
        <w:t>．投标文件份数和签署</w:t>
      </w:r>
      <w:bookmarkEnd w:id="117"/>
      <w:bookmarkEnd w:id="118"/>
    </w:p>
    <w:p w14:paraId="6A6C8E83">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w:t>
      </w:r>
      <w:r>
        <w:rPr>
          <w:rFonts w:hint="eastAsia" w:ascii="Times New Roman" w:hAnsi="Times New Roman"/>
          <w:bCs/>
          <w:sz w:val="24"/>
          <w:highlight w:val="none"/>
        </w:rPr>
        <w:t>7</w:t>
      </w:r>
      <w:r>
        <w:rPr>
          <w:rFonts w:ascii="Times New Roman" w:hAnsi="Times New Roman"/>
          <w:bCs/>
          <w:sz w:val="24"/>
          <w:highlight w:val="none"/>
        </w:rPr>
        <w:t>.1 供应商应严格按照招标公告要求的份数准备标文件并装订成册（</w:t>
      </w:r>
      <w:r>
        <w:rPr>
          <w:rFonts w:ascii="Times New Roman" w:hAnsi="Times New Roman"/>
          <w:b/>
          <w:bCs/>
          <w:sz w:val="24"/>
          <w:highlight w:val="none"/>
        </w:rPr>
        <w:t>建议双面打印、复印，装订采用软面、胶订形式</w:t>
      </w:r>
      <w:r>
        <w:rPr>
          <w:rFonts w:ascii="Times New Roman" w:hAnsi="Times New Roman"/>
          <w:bCs/>
          <w:sz w:val="24"/>
          <w:highlight w:val="none"/>
        </w:rPr>
        <w:t>），每份投标文件须清楚地标明“正本”或“副本”字样。除招标文件另有规定外，正本和副本的内容必须完全一致，一旦正本和副本不符，以正本为准。</w:t>
      </w:r>
    </w:p>
    <w:p w14:paraId="7AF00153">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w:t>
      </w:r>
      <w:r>
        <w:rPr>
          <w:rFonts w:hint="eastAsia" w:ascii="Times New Roman" w:hAnsi="Times New Roman"/>
          <w:bCs/>
          <w:sz w:val="24"/>
          <w:highlight w:val="none"/>
        </w:rPr>
        <w:t>7</w:t>
      </w:r>
      <w:r>
        <w:rPr>
          <w:rFonts w:ascii="Times New Roman" w:hAnsi="Times New Roman"/>
          <w:bCs/>
          <w:sz w:val="24"/>
          <w:highlight w:val="none"/>
        </w:rPr>
        <w:t>.2投标文件正本中，除采购文件规定的可提交复印件外，其他文件均须提交原件，文字材料需打印或用不褪色墨水书写。投标文件的正本须经法定代表人或授权代表签署和加盖供应商公章。本采购文件所表述（指定）的公章是指法定名称章，不包括合同专用章、业务专用章等印章。</w:t>
      </w:r>
    </w:p>
    <w:p w14:paraId="4C888B3C">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w:t>
      </w:r>
      <w:r>
        <w:rPr>
          <w:rFonts w:hint="eastAsia" w:ascii="Times New Roman" w:hAnsi="Times New Roman"/>
          <w:bCs/>
          <w:sz w:val="24"/>
          <w:highlight w:val="none"/>
        </w:rPr>
        <w:t>7</w:t>
      </w:r>
      <w:r>
        <w:rPr>
          <w:rFonts w:ascii="Times New Roman" w:hAnsi="Times New Roman"/>
          <w:bCs/>
          <w:sz w:val="24"/>
          <w:highlight w:val="none"/>
        </w:rPr>
        <w:t>.3全套投标文件应字迹清晰、内容齐全、无涂改、行间插字或增删。如有修改或增删，供应商必须在投标截止时间前以投标文件补充文件的形式送达装备中心，补充文件必须经供应商法定代表人或其正式授权的供应商代表签字，同时加盖供应商公章。</w:t>
      </w:r>
    </w:p>
    <w:p w14:paraId="30BD11B6">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w:t>
      </w:r>
      <w:r>
        <w:rPr>
          <w:rFonts w:hint="eastAsia" w:ascii="Times New Roman" w:hAnsi="Times New Roman"/>
          <w:bCs/>
          <w:sz w:val="24"/>
          <w:highlight w:val="none"/>
        </w:rPr>
        <w:t>7</w:t>
      </w:r>
      <w:r>
        <w:rPr>
          <w:rFonts w:ascii="Times New Roman" w:hAnsi="Times New Roman"/>
          <w:bCs/>
          <w:sz w:val="24"/>
          <w:highlight w:val="none"/>
        </w:rPr>
        <w:t>.4因投标文件印刷错误或不清楚、字迹潦草或表达不清所引起的不利后果由供应商自负。</w:t>
      </w:r>
    </w:p>
    <w:p w14:paraId="1EA4A67B">
      <w:pPr>
        <w:keepNext/>
        <w:keepLines/>
        <w:spacing w:line="360" w:lineRule="auto"/>
        <w:ind w:firstLine="482" w:firstLineChars="150"/>
        <w:outlineLvl w:val="2"/>
        <w:rPr>
          <w:rFonts w:ascii="Times New Roman" w:hAnsi="Times New Roman"/>
          <w:b/>
          <w:bCs/>
          <w:sz w:val="32"/>
          <w:szCs w:val="32"/>
          <w:highlight w:val="none"/>
        </w:rPr>
      </w:pPr>
      <w:bookmarkStart w:id="119" w:name="_Toc513029224"/>
      <w:bookmarkStart w:id="120" w:name="_Toc120614217"/>
      <w:bookmarkStart w:id="121" w:name="_Toc20823296"/>
      <w:bookmarkStart w:id="122" w:name="_Toc16938540"/>
      <w:r>
        <w:rPr>
          <w:rFonts w:ascii="Times New Roman" w:hAnsi="Times New Roman"/>
          <w:b/>
          <w:bCs/>
          <w:sz w:val="32"/>
          <w:szCs w:val="32"/>
          <w:highlight w:val="none"/>
        </w:rPr>
        <w:t>四、投标文件的递交</w:t>
      </w:r>
      <w:bookmarkEnd w:id="119"/>
      <w:bookmarkEnd w:id="120"/>
      <w:bookmarkEnd w:id="121"/>
      <w:bookmarkEnd w:id="122"/>
    </w:p>
    <w:p w14:paraId="130F1D63">
      <w:pPr>
        <w:keepNext/>
        <w:keepLines/>
        <w:spacing w:line="538" w:lineRule="exact"/>
        <w:ind w:right="-44" w:firstLine="490" w:firstLineChars="175"/>
        <w:outlineLvl w:val="3"/>
        <w:rPr>
          <w:rFonts w:ascii="Times New Roman" w:hAnsi="Times New Roman" w:eastAsia="黑体"/>
          <w:sz w:val="28"/>
          <w:szCs w:val="28"/>
          <w:highlight w:val="none"/>
        </w:rPr>
      </w:pPr>
      <w:bookmarkStart w:id="123" w:name="_Toc462564084"/>
      <w:bookmarkStart w:id="124" w:name="_Toc20823297"/>
      <w:bookmarkStart w:id="125" w:name="_Toc513029225"/>
      <w:bookmarkStart w:id="126" w:name="_Toc16938541"/>
      <w:r>
        <w:rPr>
          <w:rFonts w:ascii="Times New Roman" w:hAnsi="Times New Roman" w:eastAsia="黑体"/>
          <w:sz w:val="28"/>
          <w:szCs w:val="28"/>
          <w:highlight w:val="none"/>
        </w:rPr>
        <w:t>1</w:t>
      </w:r>
      <w:r>
        <w:rPr>
          <w:rFonts w:hint="eastAsia" w:ascii="Times New Roman" w:hAnsi="Times New Roman" w:eastAsia="黑体"/>
          <w:sz w:val="28"/>
          <w:szCs w:val="28"/>
          <w:highlight w:val="none"/>
        </w:rPr>
        <w:t>8</w:t>
      </w:r>
      <w:r>
        <w:rPr>
          <w:rFonts w:ascii="Times New Roman" w:hAnsi="Times New Roman" w:eastAsia="黑体"/>
          <w:sz w:val="28"/>
          <w:szCs w:val="28"/>
          <w:highlight w:val="none"/>
        </w:rPr>
        <w:t>．投标文件的密封和标记</w:t>
      </w:r>
      <w:bookmarkEnd w:id="123"/>
      <w:bookmarkEnd w:id="124"/>
      <w:bookmarkEnd w:id="125"/>
      <w:bookmarkEnd w:id="126"/>
    </w:p>
    <w:p w14:paraId="4C70DAA0">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w:t>
      </w:r>
      <w:r>
        <w:rPr>
          <w:rFonts w:hint="eastAsia" w:ascii="Times New Roman" w:hAnsi="Times New Roman"/>
          <w:bCs/>
          <w:sz w:val="24"/>
          <w:highlight w:val="none"/>
        </w:rPr>
        <w:t>8</w:t>
      </w:r>
      <w:r>
        <w:rPr>
          <w:rFonts w:ascii="Times New Roman" w:hAnsi="Times New Roman"/>
          <w:bCs/>
          <w:sz w:val="24"/>
          <w:highlight w:val="none"/>
        </w:rPr>
        <w:t>.1供应商应将投标文件正本和所有副本密封，密封口处须骑缝加盖供应商单位公章，公章须清晰可辨。不论供应商中标与否，投标文件均不退回。</w:t>
      </w:r>
    </w:p>
    <w:p w14:paraId="02D3AA86">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w:t>
      </w:r>
      <w:r>
        <w:rPr>
          <w:rFonts w:hint="eastAsia" w:ascii="Times New Roman" w:hAnsi="Times New Roman"/>
          <w:bCs/>
          <w:sz w:val="24"/>
          <w:highlight w:val="none"/>
        </w:rPr>
        <w:t>8</w:t>
      </w:r>
      <w:r>
        <w:rPr>
          <w:rFonts w:ascii="Times New Roman" w:hAnsi="Times New Roman"/>
          <w:bCs/>
          <w:sz w:val="24"/>
          <w:highlight w:val="none"/>
        </w:rPr>
        <w:t>.2 密封包装应：</w:t>
      </w:r>
    </w:p>
    <w:p w14:paraId="39EADAD5">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w:t>
      </w:r>
      <w:r>
        <w:rPr>
          <w:rFonts w:hint="eastAsia" w:ascii="Times New Roman" w:hAnsi="Times New Roman"/>
          <w:bCs/>
          <w:sz w:val="24"/>
          <w:highlight w:val="none"/>
        </w:rPr>
        <w:t>8</w:t>
      </w:r>
      <w:r>
        <w:rPr>
          <w:rFonts w:ascii="Times New Roman" w:hAnsi="Times New Roman"/>
          <w:bCs/>
          <w:sz w:val="24"/>
          <w:highlight w:val="none"/>
        </w:rPr>
        <w:t>.2.1注明供应商名称，如因标注不清而产生的后果由供应商自负。按招标公告中注明的地址送达；</w:t>
      </w:r>
    </w:p>
    <w:p w14:paraId="3CE6E1CC">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w:t>
      </w:r>
      <w:r>
        <w:rPr>
          <w:rFonts w:hint="eastAsia" w:ascii="Times New Roman" w:hAnsi="Times New Roman"/>
          <w:bCs/>
          <w:sz w:val="24"/>
          <w:highlight w:val="none"/>
        </w:rPr>
        <w:t>8</w:t>
      </w:r>
      <w:r>
        <w:rPr>
          <w:rFonts w:ascii="Times New Roman" w:hAnsi="Times New Roman"/>
          <w:bCs/>
          <w:sz w:val="24"/>
          <w:highlight w:val="none"/>
        </w:rPr>
        <w:t>.2.2注明投标项目名称、标书编号及包号。</w:t>
      </w:r>
    </w:p>
    <w:p w14:paraId="7A877989">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1</w:t>
      </w:r>
      <w:r>
        <w:rPr>
          <w:rFonts w:hint="eastAsia" w:ascii="Times New Roman" w:hAnsi="Times New Roman"/>
          <w:bCs/>
          <w:sz w:val="24"/>
          <w:highlight w:val="none"/>
        </w:rPr>
        <w:t>8</w:t>
      </w:r>
      <w:r>
        <w:rPr>
          <w:rFonts w:ascii="Times New Roman" w:hAnsi="Times New Roman"/>
          <w:bCs/>
          <w:sz w:val="24"/>
          <w:highlight w:val="none"/>
        </w:rPr>
        <w:t>.2.3未按要求密封和加写标记，装备中心对误投或过早启封概不负责。对由此造成提前开封的投标文件，装备中心将予以拒绝，作无效投标处理。</w:t>
      </w:r>
    </w:p>
    <w:p w14:paraId="22F75BD7">
      <w:pPr>
        <w:keepNext/>
        <w:keepLines/>
        <w:spacing w:line="538" w:lineRule="exact"/>
        <w:ind w:right="-44" w:firstLine="490" w:firstLineChars="175"/>
        <w:outlineLvl w:val="3"/>
        <w:rPr>
          <w:rFonts w:ascii="Times New Roman" w:hAnsi="Times New Roman" w:eastAsia="黑体"/>
          <w:sz w:val="28"/>
          <w:szCs w:val="28"/>
          <w:highlight w:val="none"/>
        </w:rPr>
      </w:pPr>
      <w:bookmarkStart w:id="127" w:name="_Toc513029226"/>
      <w:bookmarkStart w:id="128" w:name="_Toc16938542"/>
      <w:bookmarkStart w:id="129" w:name="_Toc20823298"/>
      <w:r>
        <w:rPr>
          <w:rFonts w:hint="eastAsia" w:ascii="Times New Roman" w:hAnsi="Times New Roman" w:eastAsia="黑体"/>
          <w:sz w:val="28"/>
          <w:szCs w:val="28"/>
          <w:highlight w:val="none"/>
        </w:rPr>
        <w:t>19</w:t>
      </w:r>
      <w:r>
        <w:rPr>
          <w:rFonts w:ascii="Times New Roman" w:hAnsi="Times New Roman" w:eastAsia="黑体"/>
          <w:sz w:val="28"/>
          <w:szCs w:val="28"/>
          <w:highlight w:val="none"/>
        </w:rPr>
        <w:t>．投标截止日期</w:t>
      </w:r>
      <w:bookmarkEnd w:id="127"/>
      <w:bookmarkEnd w:id="128"/>
      <w:bookmarkEnd w:id="129"/>
    </w:p>
    <w:p w14:paraId="0F6A3503">
      <w:pPr>
        <w:spacing w:line="538" w:lineRule="exact"/>
        <w:ind w:firstLine="489" w:firstLineChars="204"/>
        <w:rPr>
          <w:rFonts w:ascii="Times New Roman" w:hAnsi="Times New Roman"/>
          <w:bCs/>
          <w:sz w:val="24"/>
          <w:highlight w:val="none"/>
        </w:rPr>
      </w:pPr>
      <w:r>
        <w:rPr>
          <w:rFonts w:hint="eastAsia" w:ascii="Times New Roman" w:hAnsi="Times New Roman"/>
          <w:bCs/>
          <w:sz w:val="24"/>
          <w:highlight w:val="none"/>
        </w:rPr>
        <w:t>19</w:t>
      </w:r>
      <w:r>
        <w:rPr>
          <w:rFonts w:ascii="Times New Roman" w:hAnsi="Times New Roman"/>
          <w:bCs/>
          <w:sz w:val="24"/>
          <w:highlight w:val="none"/>
        </w:rPr>
        <w:t>.1 装备中心收到投标文件的时间不得迟于招标公告中规定的截止时间。</w:t>
      </w:r>
    </w:p>
    <w:p w14:paraId="13F64F62">
      <w:pPr>
        <w:spacing w:line="538" w:lineRule="exact"/>
        <w:ind w:firstLine="489" w:firstLineChars="204"/>
        <w:rPr>
          <w:rFonts w:ascii="Times New Roman" w:hAnsi="Times New Roman"/>
          <w:bCs/>
          <w:sz w:val="24"/>
          <w:highlight w:val="none"/>
        </w:rPr>
      </w:pPr>
      <w:r>
        <w:rPr>
          <w:rFonts w:hint="eastAsia" w:ascii="Times New Roman" w:hAnsi="Times New Roman"/>
          <w:bCs/>
          <w:sz w:val="24"/>
          <w:highlight w:val="none"/>
        </w:rPr>
        <w:t>19</w:t>
      </w:r>
      <w:r>
        <w:rPr>
          <w:rFonts w:ascii="Times New Roman" w:hAnsi="Times New Roman"/>
          <w:bCs/>
          <w:sz w:val="24"/>
          <w:highlight w:val="none"/>
        </w:rPr>
        <w:t>.2 装备中心可以按照规定，通过修改招标文件有权酌情延长投标截止日期，在此情况下，供应商的所有权利和义务以及供应商受制的截止日期均应以延长后新的截止日期为准。</w:t>
      </w:r>
    </w:p>
    <w:p w14:paraId="13C43907">
      <w:pPr>
        <w:keepNext/>
        <w:keepLines/>
        <w:spacing w:line="538" w:lineRule="exact"/>
        <w:ind w:right="-44" w:firstLine="490" w:firstLineChars="175"/>
        <w:outlineLvl w:val="3"/>
        <w:rPr>
          <w:rFonts w:ascii="Times New Roman" w:hAnsi="Times New Roman" w:eastAsia="黑体"/>
          <w:sz w:val="28"/>
          <w:szCs w:val="28"/>
          <w:highlight w:val="none"/>
        </w:rPr>
      </w:pPr>
      <w:bookmarkStart w:id="130" w:name="_Toc16938543"/>
      <w:bookmarkStart w:id="131" w:name="_Toc513029227"/>
      <w:bookmarkStart w:id="132" w:name="_Toc20823299"/>
      <w:r>
        <w:rPr>
          <w:rFonts w:ascii="Times New Roman" w:hAnsi="Times New Roman" w:eastAsia="黑体"/>
          <w:sz w:val="28"/>
          <w:szCs w:val="28"/>
          <w:highlight w:val="none"/>
        </w:rPr>
        <w:t>2</w:t>
      </w:r>
      <w:r>
        <w:rPr>
          <w:rFonts w:hint="eastAsia" w:ascii="Times New Roman" w:hAnsi="Times New Roman" w:eastAsia="黑体"/>
          <w:sz w:val="28"/>
          <w:szCs w:val="28"/>
          <w:highlight w:val="none"/>
        </w:rPr>
        <w:t>0</w:t>
      </w:r>
      <w:r>
        <w:rPr>
          <w:rFonts w:ascii="Times New Roman" w:hAnsi="Times New Roman" w:eastAsia="黑体"/>
          <w:sz w:val="28"/>
          <w:szCs w:val="28"/>
          <w:highlight w:val="none"/>
        </w:rPr>
        <w:t>．</w:t>
      </w:r>
      <w:bookmarkEnd w:id="130"/>
      <w:bookmarkEnd w:id="131"/>
      <w:bookmarkEnd w:id="132"/>
      <w:r>
        <w:rPr>
          <w:rFonts w:ascii="Times New Roman" w:hAnsi="Times New Roman" w:eastAsia="黑体"/>
          <w:sz w:val="28"/>
          <w:szCs w:val="28"/>
          <w:highlight w:val="none"/>
        </w:rPr>
        <w:t>投标文件的递交</w:t>
      </w:r>
    </w:p>
    <w:p w14:paraId="1F82F252">
      <w:pPr>
        <w:spacing w:line="538" w:lineRule="exact"/>
        <w:ind w:firstLine="489" w:firstLineChars="204"/>
        <w:rPr>
          <w:rFonts w:ascii="Times New Roman" w:hAnsi="Times New Roman"/>
          <w:bCs/>
          <w:color w:val="FF0000"/>
          <w:sz w:val="24"/>
          <w:highlight w:val="none"/>
        </w:rPr>
      </w:pPr>
      <w:r>
        <w:rPr>
          <w:rFonts w:ascii="Times New Roman" w:hAnsi="Times New Roman"/>
          <w:bCs/>
          <w:sz w:val="24"/>
          <w:highlight w:val="none"/>
        </w:rPr>
        <w:t>2</w:t>
      </w:r>
      <w:r>
        <w:rPr>
          <w:rFonts w:hint="eastAsia" w:ascii="Times New Roman" w:hAnsi="Times New Roman"/>
          <w:bCs/>
          <w:sz w:val="24"/>
          <w:highlight w:val="none"/>
        </w:rPr>
        <w:t>0</w:t>
      </w:r>
      <w:r>
        <w:rPr>
          <w:rFonts w:ascii="Times New Roman" w:hAnsi="Times New Roman"/>
          <w:bCs/>
          <w:sz w:val="24"/>
          <w:highlight w:val="none"/>
        </w:rPr>
        <w:t>.1装备中心拒绝接收在其规定的投标文件接收截止时间后递交的任何投标文件。</w:t>
      </w:r>
    </w:p>
    <w:p w14:paraId="5B384FA4">
      <w:pPr>
        <w:keepNext/>
        <w:keepLines/>
        <w:spacing w:line="538" w:lineRule="exact"/>
        <w:ind w:right="-44" w:firstLine="490" w:firstLineChars="175"/>
        <w:outlineLvl w:val="3"/>
        <w:rPr>
          <w:rFonts w:ascii="Times New Roman" w:hAnsi="Times New Roman" w:eastAsia="黑体"/>
          <w:sz w:val="28"/>
          <w:szCs w:val="28"/>
          <w:highlight w:val="none"/>
        </w:rPr>
      </w:pPr>
      <w:bookmarkStart w:id="133" w:name="_Toc513029228"/>
      <w:bookmarkStart w:id="134" w:name="_Toc20823300"/>
      <w:bookmarkStart w:id="135" w:name="_Toc16938544"/>
      <w:r>
        <w:rPr>
          <w:rFonts w:ascii="Times New Roman" w:hAnsi="Times New Roman" w:eastAsia="黑体"/>
          <w:sz w:val="28"/>
          <w:szCs w:val="28"/>
          <w:highlight w:val="none"/>
        </w:rPr>
        <w:t>2</w:t>
      </w:r>
      <w:r>
        <w:rPr>
          <w:rFonts w:hint="eastAsia" w:ascii="Times New Roman" w:hAnsi="Times New Roman" w:eastAsia="黑体"/>
          <w:sz w:val="28"/>
          <w:szCs w:val="28"/>
          <w:highlight w:val="none"/>
        </w:rPr>
        <w:t>1</w:t>
      </w:r>
      <w:r>
        <w:rPr>
          <w:rFonts w:ascii="Times New Roman" w:hAnsi="Times New Roman" w:eastAsia="黑体"/>
          <w:sz w:val="28"/>
          <w:szCs w:val="28"/>
          <w:highlight w:val="none"/>
        </w:rPr>
        <w:t>．投标文件的修改和撤回</w:t>
      </w:r>
      <w:bookmarkEnd w:id="133"/>
      <w:bookmarkEnd w:id="134"/>
      <w:bookmarkEnd w:id="135"/>
    </w:p>
    <w:p w14:paraId="501B9787">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1</w:t>
      </w:r>
      <w:r>
        <w:rPr>
          <w:rFonts w:ascii="Times New Roman" w:hAnsi="Times New Roman"/>
          <w:bCs/>
          <w:sz w:val="24"/>
          <w:highlight w:val="none"/>
        </w:rPr>
        <w:t>.1 供应商在递交投标文件后，可以修改或撤回其投标文件，但这种修改和撤回，必须在规定的投标截止日期前，以书面形式通知装备中心，修改或撤回其投标文件。</w:t>
      </w:r>
    </w:p>
    <w:p w14:paraId="23E9989C">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1</w:t>
      </w:r>
      <w:r>
        <w:rPr>
          <w:rFonts w:ascii="Times New Roman" w:hAnsi="Times New Roman"/>
          <w:bCs/>
          <w:sz w:val="24"/>
          <w:highlight w:val="none"/>
        </w:rPr>
        <w:t>.2 供应商的修改或撤回文件应按规定进行编制、密封、标记和发送，并应在封套上加注“修改”和“撤回”字样。上述补充或修改若涉及投标报价，必须注明“最后唯一报价”字样，否则将视为有选择的报价。修改文件必须在投标截止时间前送达装备中心。</w:t>
      </w:r>
    </w:p>
    <w:p w14:paraId="7928D054">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1</w:t>
      </w:r>
      <w:r>
        <w:rPr>
          <w:rFonts w:ascii="Times New Roman" w:hAnsi="Times New Roman"/>
          <w:bCs/>
          <w:sz w:val="24"/>
          <w:highlight w:val="none"/>
        </w:rPr>
        <w:t>.3 在投标截止期之后，供应商不得对其投标文件作任何修改。</w:t>
      </w:r>
    </w:p>
    <w:p w14:paraId="0D613869">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1</w:t>
      </w:r>
      <w:r>
        <w:rPr>
          <w:rFonts w:ascii="Times New Roman" w:hAnsi="Times New Roman"/>
          <w:bCs/>
          <w:sz w:val="24"/>
          <w:highlight w:val="none"/>
        </w:rPr>
        <w:t>.4 在投标截止期至装备中心在招标文件中规定的投标有效期满之间的这段时间内，供应商不得撤回其投标。</w:t>
      </w:r>
    </w:p>
    <w:p w14:paraId="0732D8EA">
      <w:pPr>
        <w:keepNext/>
        <w:keepLines/>
        <w:spacing w:line="360" w:lineRule="auto"/>
        <w:ind w:firstLine="482" w:firstLineChars="150"/>
        <w:outlineLvl w:val="2"/>
        <w:rPr>
          <w:rFonts w:ascii="Times New Roman" w:hAnsi="Times New Roman"/>
          <w:b/>
          <w:bCs/>
          <w:sz w:val="32"/>
          <w:szCs w:val="32"/>
          <w:highlight w:val="none"/>
        </w:rPr>
      </w:pPr>
      <w:bookmarkStart w:id="136" w:name="_Toc120614218"/>
      <w:bookmarkStart w:id="137" w:name="_Toc513029229"/>
      <w:bookmarkStart w:id="138" w:name="_Toc16938545"/>
      <w:bookmarkStart w:id="139" w:name="_Toc20823301"/>
      <w:r>
        <w:rPr>
          <w:rFonts w:ascii="Times New Roman" w:hAnsi="Times New Roman"/>
          <w:b/>
          <w:bCs/>
          <w:sz w:val="32"/>
          <w:szCs w:val="32"/>
          <w:highlight w:val="none"/>
        </w:rPr>
        <w:t>五、开标与评标</w:t>
      </w:r>
      <w:bookmarkEnd w:id="136"/>
      <w:bookmarkEnd w:id="137"/>
      <w:bookmarkEnd w:id="138"/>
      <w:bookmarkEnd w:id="139"/>
    </w:p>
    <w:p w14:paraId="2A5EF14E">
      <w:pPr>
        <w:keepNext/>
        <w:keepLines/>
        <w:spacing w:line="538" w:lineRule="exact"/>
        <w:ind w:right="-44" w:firstLine="490" w:firstLineChars="175"/>
        <w:outlineLvl w:val="3"/>
        <w:rPr>
          <w:rFonts w:ascii="Times New Roman" w:hAnsi="Times New Roman" w:eastAsia="黑体"/>
          <w:sz w:val="28"/>
          <w:szCs w:val="28"/>
          <w:highlight w:val="none"/>
        </w:rPr>
      </w:pPr>
      <w:bookmarkStart w:id="140" w:name="_Toc20823302"/>
      <w:bookmarkStart w:id="141" w:name="_Toc513029230"/>
      <w:bookmarkStart w:id="142" w:name="_Toc16938546"/>
      <w:r>
        <w:rPr>
          <w:rFonts w:ascii="Times New Roman" w:hAnsi="Times New Roman" w:eastAsia="黑体"/>
          <w:sz w:val="28"/>
          <w:szCs w:val="28"/>
          <w:highlight w:val="none"/>
        </w:rPr>
        <w:t>2</w:t>
      </w:r>
      <w:r>
        <w:rPr>
          <w:rFonts w:hint="eastAsia" w:ascii="Times New Roman" w:hAnsi="Times New Roman" w:eastAsia="黑体"/>
          <w:sz w:val="28"/>
          <w:szCs w:val="28"/>
          <w:highlight w:val="none"/>
        </w:rPr>
        <w:t>2</w:t>
      </w:r>
      <w:r>
        <w:rPr>
          <w:rFonts w:ascii="Times New Roman" w:hAnsi="Times New Roman" w:eastAsia="黑体"/>
          <w:sz w:val="28"/>
          <w:szCs w:val="28"/>
          <w:highlight w:val="none"/>
        </w:rPr>
        <w:t>．开标</w:t>
      </w:r>
      <w:bookmarkEnd w:id="140"/>
      <w:bookmarkEnd w:id="141"/>
      <w:bookmarkEnd w:id="142"/>
    </w:p>
    <w:p w14:paraId="6402DF45">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2</w:t>
      </w:r>
      <w:r>
        <w:rPr>
          <w:rFonts w:ascii="Times New Roman" w:hAnsi="Times New Roman"/>
          <w:bCs/>
          <w:sz w:val="24"/>
          <w:highlight w:val="none"/>
        </w:rPr>
        <w:t>.1 装备中心将在招标公告中规定的时间和地点对所有按时递交的投标文件公开开标。供应商的法定代表人或其授权代表</w:t>
      </w:r>
      <w:r>
        <w:rPr>
          <w:rFonts w:hint="eastAsia" w:ascii="Times New Roman" w:hAnsi="Times New Roman"/>
          <w:bCs/>
          <w:sz w:val="24"/>
          <w:highlight w:val="none"/>
        </w:rPr>
        <w:t>须持身份证原件出席视频直播会议</w:t>
      </w:r>
      <w:r>
        <w:rPr>
          <w:rFonts w:ascii="Times New Roman" w:hAnsi="Times New Roman"/>
          <w:bCs/>
          <w:sz w:val="24"/>
          <w:highlight w:val="none"/>
        </w:rPr>
        <w:t>。</w:t>
      </w:r>
    </w:p>
    <w:p w14:paraId="41AF453A">
      <w:pPr>
        <w:spacing w:line="520" w:lineRule="exact"/>
        <w:ind w:firstLine="480" w:firstLineChars="200"/>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2</w:t>
      </w:r>
      <w:r>
        <w:rPr>
          <w:rFonts w:ascii="Times New Roman" w:hAnsi="Times New Roman"/>
          <w:bCs/>
          <w:sz w:val="24"/>
          <w:highlight w:val="none"/>
        </w:rPr>
        <w:t>.2供应商必须在投标文件递交截止时间前办理完毕递交投标文件以及其它招标文件所规定的应在投标截止时间前完成的事项（如样品递交等）。</w:t>
      </w:r>
    </w:p>
    <w:p w14:paraId="418EFFAD">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2</w:t>
      </w:r>
      <w:r>
        <w:rPr>
          <w:rFonts w:ascii="Times New Roman" w:hAnsi="Times New Roman"/>
          <w:bCs/>
          <w:sz w:val="24"/>
          <w:highlight w:val="none"/>
        </w:rPr>
        <w:t>.3按照规定，同意撤回的投标将不予开封。</w:t>
      </w:r>
    </w:p>
    <w:p w14:paraId="174B16F9">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2</w:t>
      </w:r>
      <w:r>
        <w:rPr>
          <w:rFonts w:ascii="Times New Roman" w:hAnsi="Times New Roman"/>
          <w:bCs/>
          <w:sz w:val="24"/>
          <w:highlight w:val="none"/>
        </w:rPr>
        <w:t>.4开标时</w:t>
      </w:r>
      <w:r>
        <w:rPr>
          <w:rFonts w:hint="eastAsia" w:ascii="Times New Roman" w:hAnsi="Times New Roman"/>
          <w:bCs/>
          <w:sz w:val="24"/>
          <w:highlight w:val="none"/>
        </w:rPr>
        <w:t>装备中心现场</w:t>
      </w:r>
      <w:r>
        <w:rPr>
          <w:rFonts w:ascii="Times New Roman" w:hAnsi="Times New Roman"/>
          <w:bCs/>
          <w:sz w:val="24"/>
          <w:highlight w:val="none"/>
        </w:rPr>
        <w:t>检查投标文件的密封情况，确认无误后，当众拆封宣读每份投标文件中“开标一览表”内容，未列入开标一览表的内容一律不在开标时宣读。供应商开标一览表中若有报价未被唱出，应在开标时声明或提请注意，否则装备中心对此不承担任何责任。</w:t>
      </w:r>
    </w:p>
    <w:p w14:paraId="1760D850">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2</w:t>
      </w:r>
      <w:r>
        <w:rPr>
          <w:rFonts w:ascii="Times New Roman" w:hAnsi="Times New Roman"/>
          <w:bCs/>
          <w:sz w:val="24"/>
          <w:highlight w:val="none"/>
        </w:rPr>
        <w:t>.5装备中心将做开标记录并存档备查，各供应商需仔细核对开标记录相关内容并确认。</w:t>
      </w:r>
    </w:p>
    <w:p w14:paraId="5FA9655B">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2</w:t>
      </w:r>
      <w:r>
        <w:rPr>
          <w:rFonts w:ascii="Times New Roman" w:hAnsi="Times New Roman"/>
          <w:bCs/>
          <w:sz w:val="24"/>
          <w:highlight w:val="none"/>
        </w:rPr>
        <w:t>.6供应商在报价时不允许采用选择性报价，否则将被视为无效投标。</w:t>
      </w:r>
    </w:p>
    <w:p w14:paraId="1B89380B">
      <w:pPr>
        <w:keepNext/>
        <w:keepLines/>
        <w:spacing w:line="538" w:lineRule="exact"/>
        <w:ind w:right="-44" w:firstLine="490" w:firstLineChars="175"/>
        <w:outlineLvl w:val="3"/>
        <w:rPr>
          <w:rFonts w:ascii="Times New Roman" w:hAnsi="Times New Roman" w:eastAsia="黑体"/>
          <w:sz w:val="28"/>
          <w:szCs w:val="28"/>
          <w:highlight w:val="none"/>
        </w:rPr>
      </w:pPr>
      <w:bookmarkStart w:id="143" w:name="_Toc513029231"/>
      <w:bookmarkStart w:id="144" w:name="_Toc16938547"/>
      <w:bookmarkStart w:id="145" w:name="_Toc20823303"/>
      <w:r>
        <w:rPr>
          <w:rFonts w:ascii="Times New Roman" w:hAnsi="Times New Roman" w:eastAsia="黑体"/>
          <w:sz w:val="28"/>
          <w:szCs w:val="28"/>
          <w:highlight w:val="none"/>
        </w:rPr>
        <w:t>2</w:t>
      </w:r>
      <w:r>
        <w:rPr>
          <w:rFonts w:hint="eastAsia" w:ascii="Times New Roman" w:hAnsi="Times New Roman" w:eastAsia="黑体"/>
          <w:sz w:val="28"/>
          <w:szCs w:val="28"/>
          <w:highlight w:val="none"/>
        </w:rPr>
        <w:t>3</w:t>
      </w:r>
      <w:r>
        <w:rPr>
          <w:rFonts w:ascii="Times New Roman" w:hAnsi="Times New Roman" w:eastAsia="黑体"/>
          <w:sz w:val="28"/>
          <w:szCs w:val="28"/>
          <w:highlight w:val="none"/>
        </w:rPr>
        <w:t>．评标委员会</w:t>
      </w:r>
    </w:p>
    <w:p w14:paraId="0D998A10">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3</w:t>
      </w:r>
      <w:r>
        <w:rPr>
          <w:rFonts w:ascii="Times New Roman" w:hAnsi="Times New Roman"/>
          <w:bCs/>
          <w:sz w:val="24"/>
          <w:highlight w:val="none"/>
        </w:rPr>
        <w:t>.1开标后，装备中心将立即组织评标委员会（以下简称评委会）进行评标。</w:t>
      </w:r>
    </w:p>
    <w:p w14:paraId="1757BDC5">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3</w:t>
      </w:r>
      <w:r>
        <w:rPr>
          <w:rFonts w:ascii="Times New Roman" w:hAnsi="Times New Roman"/>
          <w:bCs/>
          <w:sz w:val="24"/>
          <w:highlight w:val="none"/>
        </w:rPr>
        <w:t>.2 评委会由采购人代表和行业专家组成，且人员构成符合政府采购有关规定。</w:t>
      </w:r>
    </w:p>
    <w:p w14:paraId="166155F9">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3</w:t>
      </w:r>
      <w:r>
        <w:rPr>
          <w:rFonts w:ascii="Times New Roman" w:hAnsi="Times New Roman"/>
          <w:bCs/>
          <w:sz w:val="24"/>
          <w:highlight w:val="none"/>
        </w:rPr>
        <w:t>.3评委会应以科学、公正的态度参加评审工作并确定中标候选人。评委会在评标过程中不受任何干扰，独立、负责地提出评审意见，并对自己的评审意见承担责任。</w:t>
      </w:r>
    </w:p>
    <w:p w14:paraId="62C1A670">
      <w:pPr>
        <w:keepNext/>
        <w:keepLines/>
        <w:spacing w:line="538" w:lineRule="exact"/>
        <w:ind w:right="-44" w:firstLine="490" w:firstLineChars="175"/>
        <w:outlineLvl w:val="3"/>
        <w:rPr>
          <w:rFonts w:ascii="Times New Roman" w:hAnsi="Times New Roman" w:eastAsia="黑体"/>
          <w:sz w:val="28"/>
          <w:szCs w:val="28"/>
          <w:highlight w:val="none"/>
        </w:rPr>
      </w:pPr>
      <w:r>
        <w:rPr>
          <w:rFonts w:ascii="Times New Roman" w:hAnsi="Times New Roman" w:eastAsia="黑体"/>
          <w:sz w:val="28"/>
          <w:szCs w:val="28"/>
          <w:highlight w:val="none"/>
        </w:rPr>
        <w:t>2</w:t>
      </w:r>
      <w:r>
        <w:rPr>
          <w:rFonts w:hint="eastAsia" w:ascii="Times New Roman" w:hAnsi="Times New Roman" w:eastAsia="黑体"/>
          <w:sz w:val="28"/>
          <w:szCs w:val="28"/>
          <w:highlight w:val="none"/>
        </w:rPr>
        <w:t>4</w:t>
      </w:r>
      <w:r>
        <w:rPr>
          <w:rFonts w:ascii="Times New Roman" w:hAnsi="Times New Roman" w:eastAsia="黑体"/>
          <w:sz w:val="28"/>
          <w:szCs w:val="28"/>
          <w:highlight w:val="none"/>
        </w:rPr>
        <w:t>．评标过程的保密与公正</w:t>
      </w:r>
    </w:p>
    <w:bookmarkEnd w:id="143"/>
    <w:bookmarkEnd w:id="144"/>
    <w:bookmarkEnd w:id="145"/>
    <w:p w14:paraId="655EB76C">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4</w:t>
      </w:r>
      <w:r>
        <w:rPr>
          <w:rFonts w:ascii="Times New Roman" w:hAnsi="Times New Roman"/>
          <w:bCs/>
          <w:sz w:val="24"/>
          <w:highlight w:val="none"/>
        </w:rPr>
        <w:t>.1公开开标后，直至向中标的供应商授予合同时止，凡是与审查、澄清、评价和比较投标的有关资料以及确定中标等相关信息，相关当事人均不得向供应商或与评标无关的其他人员透露。</w:t>
      </w:r>
    </w:p>
    <w:p w14:paraId="1D6EA6B3">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4</w:t>
      </w:r>
      <w:r>
        <w:rPr>
          <w:rFonts w:ascii="Times New Roman" w:hAnsi="Times New Roman"/>
          <w:bCs/>
          <w:sz w:val="24"/>
          <w:highlight w:val="none"/>
        </w:rPr>
        <w:t>.2供应商试图影响评标或授予合同方面的任何尝试，可能导致该供应商的投标资格被取消。</w:t>
      </w:r>
    </w:p>
    <w:p w14:paraId="16E6F66B">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4</w:t>
      </w:r>
      <w:r>
        <w:rPr>
          <w:rFonts w:ascii="Times New Roman" w:hAnsi="Times New Roman"/>
          <w:bCs/>
          <w:sz w:val="24"/>
          <w:highlight w:val="none"/>
        </w:rPr>
        <w:t>.3在评标期间，装备中心将设专门人员与供应商联系。</w:t>
      </w:r>
    </w:p>
    <w:p w14:paraId="79FF2B73">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4</w:t>
      </w:r>
      <w:r>
        <w:rPr>
          <w:rFonts w:ascii="Times New Roman" w:hAnsi="Times New Roman"/>
          <w:bCs/>
          <w:sz w:val="24"/>
          <w:highlight w:val="none"/>
        </w:rPr>
        <w:t>.4装备中心和评委会不得向落标的供应商解释未中标原因，也不公布评标过程中的相关细节。</w:t>
      </w:r>
    </w:p>
    <w:p w14:paraId="455F820A">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4</w:t>
      </w:r>
      <w:r>
        <w:rPr>
          <w:rFonts w:ascii="Times New Roman" w:hAnsi="Times New Roman"/>
          <w:bCs/>
          <w:sz w:val="24"/>
          <w:highlight w:val="none"/>
        </w:rPr>
        <w:t>.5评委会名单在开标前确定，并在评标结果确定前保密。</w:t>
      </w:r>
    </w:p>
    <w:p w14:paraId="3F2290BF">
      <w:pPr>
        <w:keepNext/>
        <w:keepLines/>
        <w:spacing w:line="538" w:lineRule="exact"/>
        <w:ind w:right="-44" w:firstLine="490" w:firstLineChars="175"/>
        <w:outlineLvl w:val="3"/>
        <w:rPr>
          <w:rFonts w:ascii="Times New Roman" w:hAnsi="Times New Roman" w:eastAsia="黑体"/>
          <w:sz w:val="28"/>
          <w:szCs w:val="28"/>
          <w:highlight w:val="none"/>
        </w:rPr>
      </w:pPr>
      <w:bookmarkStart w:id="146" w:name="_Toc513029232"/>
      <w:bookmarkStart w:id="147" w:name="_Toc16938548"/>
      <w:bookmarkStart w:id="148" w:name="_Toc20823304"/>
      <w:r>
        <w:rPr>
          <w:rFonts w:ascii="Times New Roman" w:hAnsi="Times New Roman" w:eastAsia="黑体"/>
          <w:sz w:val="28"/>
          <w:szCs w:val="28"/>
          <w:highlight w:val="none"/>
        </w:rPr>
        <w:t>2</w:t>
      </w:r>
      <w:r>
        <w:rPr>
          <w:rFonts w:hint="eastAsia" w:ascii="Times New Roman" w:hAnsi="Times New Roman" w:eastAsia="黑体"/>
          <w:sz w:val="28"/>
          <w:szCs w:val="28"/>
          <w:highlight w:val="none"/>
        </w:rPr>
        <w:t>5</w:t>
      </w:r>
      <w:r>
        <w:rPr>
          <w:rFonts w:ascii="Times New Roman" w:hAnsi="Times New Roman" w:eastAsia="黑体"/>
          <w:sz w:val="28"/>
          <w:szCs w:val="28"/>
          <w:highlight w:val="none"/>
        </w:rPr>
        <w:t>．投标文件的澄清</w:t>
      </w:r>
      <w:bookmarkEnd w:id="146"/>
      <w:bookmarkEnd w:id="147"/>
      <w:bookmarkEnd w:id="148"/>
    </w:p>
    <w:p w14:paraId="61D7D603">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5</w:t>
      </w:r>
      <w:r>
        <w:rPr>
          <w:rFonts w:ascii="Times New Roman" w:hAnsi="Times New Roman"/>
          <w:bCs/>
          <w:sz w:val="24"/>
          <w:highlight w:val="none"/>
        </w:rPr>
        <w:t>.1在评标期间，对投标文件中含义不明确、同类问题表述不一致或者有明显文字和计算错误的内容，评委会有权以书面形式要求供应商对其投标文件进行澄清，但并非对每个供应商都作澄清要求。</w:t>
      </w:r>
    </w:p>
    <w:p w14:paraId="38F77E92">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5</w:t>
      </w:r>
      <w:r>
        <w:rPr>
          <w:rFonts w:ascii="Times New Roman" w:hAnsi="Times New Roman"/>
          <w:bCs/>
          <w:sz w:val="24"/>
          <w:highlight w:val="none"/>
        </w:rPr>
        <w:t>.2接到评委会澄清要求的供应商必须按照评委会通知的地点和时间做出书面澄清，该澄清须由供应商法人或其授权的供应商代表的签字认可，将作为投标文件内容的补充部分。澄清、说明或者补正不得超出投标文件的范围或者改变投标的价格和投标文件的实质性内容。供应商拒不按照要求对投标文件进行澄清的，评委会可拒绝该投标文件。</w:t>
      </w:r>
    </w:p>
    <w:p w14:paraId="0138E7A5">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5</w:t>
      </w:r>
      <w:r>
        <w:rPr>
          <w:rFonts w:ascii="Times New Roman" w:hAnsi="Times New Roman"/>
          <w:bCs/>
          <w:sz w:val="24"/>
          <w:highlight w:val="none"/>
        </w:rPr>
        <w:t>.3</w:t>
      </w:r>
      <w:r>
        <w:rPr>
          <w:rFonts w:hint="eastAsia" w:ascii="Times New Roman" w:hAnsi="Times New Roman"/>
          <w:bCs/>
          <w:sz w:val="24"/>
          <w:highlight w:val="none"/>
        </w:rPr>
        <w:t>评委会、</w:t>
      </w:r>
      <w:r>
        <w:rPr>
          <w:rFonts w:ascii="Times New Roman" w:hAnsi="Times New Roman"/>
          <w:bCs/>
          <w:sz w:val="24"/>
          <w:highlight w:val="none"/>
        </w:rPr>
        <w:t>装备中心不接受供应商主动提出的对投标文件的澄清。</w:t>
      </w:r>
    </w:p>
    <w:p w14:paraId="1BD79655">
      <w:pPr>
        <w:spacing w:line="538" w:lineRule="exact"/>
        <w:ind w:firstLine="489" w:firstLineChars="204"/>
        <w:rPr>
          <w:rFonts w:ascii="Times New Roman" w:hAnsi="Times New Roman"/>
          <w:bCs/>
          <w:sz w:val="24"/>
          <w:highlight w:val="none"/>
        </w:rPr>
      </w:pPr>
      <w:bookmarkStart w:id="149" w:name="_Toc16938549"/>
      <w:bookmarkStart w:id="150" w:name="_Toc20823305"/>
      <w:bookmarkStart w:id="151" w:name="_Toc513029233"/>
      <w:r>
        <w:rPr>
          <w:rFonts w:ascii="Times New Roman" w:hAnsi="Times New Roman"/>
          <w:bCs/>
          <w:sz w:val="24"/>
          <w:highlight w:val="none"/>
        </w:rPr>
        <w:t>2</w:t>
      </w:r>
      <w:r>
        <w:rPr>
          <w:rFonts w:hint="eastAsia" w:ascii="Times New Roman" w:hAnsi="Times New Roman"/>
          <w:bCs/>
          <w:sz w:val="24"/>
          <w:highlight w:val="none"/>
        </w:rPr>
        <w:t>5</w:t>
      </w:r>
      <w:r>
        <w:rPr>
          <w:rFonts w:ascii="Times New Roman" w:hAnsi="Times New Roman"/>
          <w:bCs/>
          <w:sz w:val="24"/>
          <w:highlight w:val="none"/>
        </w:rPr>
        <w:t>.4 接到评委会澄清要求的供应商如未按规定做出澄清，其风险由供应商自行承担。</w:t>
      </w:r>
    </w:p>
    <w:p w14:paraId="0FE713ED">
      <w:pPr>
        <w:keepNext/>
        <w:keepLines/>
        <w:spacing w:line="538" w:lineRule="exact"/>
        <w:ind w:right="-44" w:firstLine="490" w:firstLineChars="175"/>
        <w:outlineLvl w:val="3"/>
        <w:rPr>
          <w:rFonts w:ascii="Times New Roman" w:hAnsi="Times New Roman" w:eastAsia="黑体"/>
          <w:sz w:val="28"/>
          <w:szCs w:val="28"/>
          <w:highlight w:val="none"/>
        </w:rPr>
      </w:pPr>
      <w:r>
        <w:rPr>
          <w:rFonts w:ascii="Times New Roman" w:hAnsi="Times New Roman" w:eastAsia="黑体"/>
          <w:sz w:val="28"/>
          <w:szCs w:val="28"/>
          <w:highlight w:val="none"/>
        </w:rPr>
        <w:t>2</w:t>
      </w:r>
      <w:r>
        <w:rPr>
          <w:rFonts w:hint="eastAsia" w:ascii="Times New Roman" w:hAnsi="Times New Roman" w:eastAsia="黑体"/>
          <w:sz w:val="28"/>
          <w:szCs w:val="28"/>
          <w:highlight w:val="none"/>
        </w:rPr>
        <w:t>6</w:t>
      </w:r>
      <w:r>
        <w:rPr>
          <w:rFonts w:ascii="Times New Roman" w:hAnsi="Times New Roman" w:eastAsia="黑体"/>
          <w:sz w:val="28"/>
          <w:szCs w:val="28"/>
          <w:highlight w:val="none"/>
        </w:rPr>
        <w:t>．对投标文件的初审</w:t>
      </w:r>
      <w:bookmarkEnd w:id="149"/>
      <w:bookmarkEnd w:id="150"/>
      <w:bookmarkEnd w:id="151"/>
    </w:p>
    <w:p w14:paraId="645CA44F">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6</w:t>
      </w:r>
      <w:r>
        <w:rPr>
          <w:rFonts w:ascii="Times New Roman" w:hAnsi="Times New Roman"/>
          <w:bCs/>
          <w:sz w:val="24"/>
          <w:highlight w:val="none"/>
        </w:rPr>
        <w:t>.1投标文件初审分为资格性检查和符合性检查。</w:t>
      </w:r>
    </w:p>
    <w:p w14:paraId="22A11CB9">
      <w:pPr>
        <w:spacing w:line="538" w:lineRule="exact"/>
        <w:ind w:firstLine="489" w:firstLineChars="204"/>
        <w:rPr>
          <w:rFonts w:ascii="Times New Roman" w:hAnsi="Times New Roman"/>
          <w:bCs/>
          <w:sz w:val="24"/>
          <w:highlight w:val="none"/>
        </w:rPr>
      </w:pPr>
      <w:r>
        <w:rPr>
          <w:rFonts w:hint="eastAsia" w:ascii="Times New Roman" w:hAnsi="Times New Roman"/>
          <w:bCs/>
          <w:sz w:val="24"/>
          <w:highlight w:val="none"/>
        </w:rPr>
        <w:t>26.1.1</w:t>
      </w:r>
      <w:r>
        <w:rPr>
          <w:rFonts w:ascii="Times New Roman" w:hAnsi="Times New Roman"/>
          <w:bCs/>
          <w:sz w:val="24"/>
          <w:highlight w:val="none"/>
        </w:rPr>
        <w:t>资格性检查：依据法律法规和招标文件的规定，</w:t>
      </w:r>
      <w:r>
        <w:rPr>
          <w:rFonts w:hint="eastAsia" w:ascii="Times New Roman" w:hAnsi="Times New Roman"/>
          <w:bCs/>
          <w:sz w:val="24"/>
          <w:highlight w:val="none"/>
        </w:rPr>
        <w:t>由采购人</w:t>
      </w:r>
      <w:r>
        <w:rPr>
          <w:rFonts w:ascii="Times New Roman" w:hAnsi="Times New Roman"/>
          <w:bCs/>
          <w:sz w:val="24"/>
          <w:highlight w:val="none"/>
        </w:rPr>
        <w:t>对投标文件中的资格证明文件进行审查，以确定投标供应商是否具备投标资格。</w:t>
      </w:r>
    </w:p>
    <w:p w14:paraId="154625CD">
      <w:pPr>
        <w:spacing w:line="538" w:lineRule="exact"/>
        <w:ind w:firstLine="489" w:firstLineChars="204"/>
        <w:rPr>
          <w:bCs/>
          <w:sz w:val="24"/>
          <w:highlight w:val="none"/>
        </w:rPr>
      </w:pPr>
      <w:r>
        <w:rPr>
          <w:bCs/>
          <w:sz w:val="24"/>
          <w:highlight w:val="none"/>
        </w:rPr>
        <w:t>在进行资格性审查的同时，</w:t>
      </w:r>
      <w:r>
        <w:rPr>
          <w:rFonts w:hint="eastAsia"/>
          <w:bCs/>
          <w:sz w:val="24"/>
          <w:highlight w:val="none"/>
        </w:rPr>
        <w:t>装备中心</w:t>
      </w:r>
      <w:r>
        <w:rPr>
          <w:bCs/>
          <w:sz w:val="24"/>
          <w:highlight w:val="none"/>
        </w:rPr>
        <w:t>将在“信用中国”</w:t>
      </w:r>
      <w:r>
        <w:rPr>
          <w:rFonts w:hint="eastAsia"/>
          <w:bCs/>
          <w:sz w:val="24"/>
          <w:highlight w:val="none"/>
        </w:rPr>
        <w:t>、“中国政府采购网”</w:t>
      </w:r>
      <w:r>
        <w:rPr>
          <w:bCs/>
          <w:sz w:val="24"/>
          <w:highlight w:val="none"/>
        </w:rPr>
        <w:t>对供应商是否被列入失信被执行人、重大税收违法案件当事人名单、政府采购严重失信行为记录名单</w:t>
      </w:r>
      <w:r>
        <w:rPr>
          <w:rFonts w:hint="eastAsia" w:ascii="宋体" w:hAnsi="宋体"/>
          <w:sz w:val="24"/>
          <w:szCs w:val="24"/>
          <w:highlight w:val="none"/>
        </w:rPr>
        <w:t>及不符合《中华人民共和国政府采购法》第二十二条规定条件的情形</w:t>
      </w:r>
      <w:r>
        <w:rPr>
          <w:bCs/>
          <w:sz w:val="24"/>
          <w:highlight w:val="none"/>
        </w:rPr>
        <w:t>进行查询，以确定供应商是否具备</w:t>
      </w:r>
      <w:r>
        <w:rPr>
          <w:rFonts w:hint="eastAsia"/>
          <w:bCs/>
          <w:sz w:val="24"/>
          <w:highlight w:val="none"/>
        </w:rPr>
        <w:t>投标</w:t>
      </w:r>
      <w:r>
        <w:rPr>
          <w:bCs/>
          <w:sz w:val="24"/>
          <w:highlight w:val="none"/>
        </w:rPr>
        <w:t>资格。查询结果将以网页打印的形式留存并归档。</w:t>
      </w:r>
    </w:p>
    <w:p w14:paraId="7C36668F">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53DE90A9">
      <w:pPr>
        <w:spacing w:line="538" w:lineRule="exact"/>
        <w:ind w:firstLine="489" w:firstLineChars="204"/>
        <w:rPr>
          <w:rFonts w:ascii="Times New Roman" w:hAnsi="Times New Roman"/>
          <w:bCs/>
          <w:sz w:val="24"/>
          <w:highlight w:val="none"/>
        </w:rPr>
      </w:pPr>
      <w:r>
        <w:rPr>
          <w:rFonts w:hint="eastAsia" w:ascii="Times New Roman" w:hAnsi="Times New Roman"/>
          <w:bCs/>
          <w:sz w:val="24"/>
          <w:highlight w:val="none"/>
        </w:rPr>
        <w:t>26.1.2</w:t>
      </w:r>
      <w:r>
        <w:rPr>
          <w:rFonts w:ascii="Times New Roman" w:hAnsi="Times New Roman"/>
          <w:bCs/>
          <w:sz w:val="24"/>
          <w:highlight w:val="none"/>
        </w:rPr>
        <w:t>符合性检查：依据招标文件的规定，由评委会从投标文件的有效性、完整性和对招标文件的响应程度进行审查，以确定是否对招标文件的实质性要求</w:t>
      </w:r>
      <w:r>
        <w:rPr>
          <w:rFonts w:hint="eastAsia" w:ascii="Times New Roman" w:hAnsi="Times New Roman"/>
          <w:bCs/>
          <w:sz w:val="24"/>
          <w:highlight w:val="none"/>
        </w:rPr>
        <w:t>做</w:t>
      </w:r>
      <w:r>
        <w:rPr>
          <w:rFonts w:ascii="Times New Roman" w:hAnsi="Times New Roman"/>
          <w:bCs/>
          <w:sz w:val="24"/>
          <w:highlight w:val="none"/>
        </w:rPr>
        <w:t>出响应。</w:t>
      </w:r>
    </w:p>
    <w:p w14:paraId="1578AA82">
      <w:pPr>
        <w:spacing w:line="538" w:lineRule="exact"/>
        <w:ind w:firstLine="489" w:firstLineChars="204"/>
        <w:rPr>
          <w:rFonts w:ascii="Times New Roman" w:hAnsi="Times New Roman"/>
          <w:bCs/>
          <w:sz w:val="24"/>
          <w:highlight w:val="none"/>
        </w:rPr>
      </w:pPr>
      <w:r>
        <w:rPr>
          <w:rFonts w:hint="eastAsia" w:ascii="Times New Roman" w:hAnsi="Times New Roman"/>
          <w:bCs/>
          <w:sz w:val="24"/>
          <w:highlight w:val="none"/>
        </w:rPr>
        <w:t>26.1.3</w:t>
      </w:r>
      <w:r>
        <w:rPr>
          <w:rFonts w:ascii="Times New Roman" w:hAnsi="Times New Roman"/>
          <w:bCs/>
          <w:sz w:val="24"/>
          <w:highlight w:val="none"/>
        </w:rPr>
        <w:t>未通过资格审查或符合性审查的供应商，将在评标现场向其授权代表告知未通过资格审查或符合性审查的原因，评审结束后，将不再告知未通过资格审查或符合性审查的原因。</w:t>
      </w:r>
    </w:p>
    <w:p w14:paraId="30F302EC">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6</w:t>
      </w:r>
      <w:r>
        <w:rPr>
          <w:rFonts w:ascii="Times New Roman" w:hAnsi="Times New Roman"/>
          <w:bCs/>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1DCD219C">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所谓重大偏离或保留是指与招标文件规定的实质性要求存在负偏离，或者在实质上与招标文件不一致，而且限制了合同中采购人和见证方的权利或供应商的义务，纠正这些偏离或保留将会对其他实质性响应要求的供应商的竞争地位产生不公正的影响。重大偏离的认定需经过评委会三分二及以上成员的认定。评委决定投标文件的响应性只根据投标文件本身的内容，而不寻求外部的证据。</w:t>
      </w:r>
    </w:p>
    <w:p w14:paraId="08B3B8B7">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6</w:t>
      </w:r>
      <w:r>
        <w:rPr>
          <w:rFonts w:ascii="Times New Roman" w:hAnsi="Times New Roman"/>
          <w:bCs/>
          <w:sz w:val="24"/>
          <w:highlight w:val="none"/>
        </w:rPr>
        <w:t>.3如果投标文件实质上没有响应招标文件的要求，评委会将予以拒绝。供应商不得通过修改或撤销不合要求的偏离或保留而使其投标成为实质性响应的投标。</w:t>
      </w:r>
    </w:p>
    <w:p w14:paraId="27D3A0EC">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6</w:t>
      </w:r>
      <w:r>
        <w:rPr>
          <w:rFonts w:ascii="Times New Roman" w:hAnsi="Times New Roman"/>
          <w:bCs/>
          <w:sz w:val="24"/>
          <w:highlight w:val="none"/>
        </w:rPr>
        <w:t>.4评委会将对确定为实质上响应的投标进行进一步审核，看其是否有计算上或累加上的算术错误，修正错误的原则如下：</w:t>
      </w:r>
    </w:p>
    <w:p w14:paraId="41E8DD76">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6</w:t>
      </w:r>
      <w:r>
        <w:rPr>
          <w:rFonts w:ascii="Times New Roman" w:hAnsi="Times New Roman"/>
          <w:bCs/>
          <w:sz w:val="24"/>
          <w:highlight w:val="none"/>
        </w:rPr>
        <w:t>.4.1投标文件中开标一览表内容与投标文件中相应内容不一致的，以开标一览表为准。</w:t>
      </w:r>
    </w:p>
    <w:p w14:paraId="706D8F49">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6</w:t>
      </w:r>
      <w:r>
        <w:rPr>
          <w:rFonts w:ascii="Times New Roman" w:hAnsi="Times New Roman"/>
          <w:bCs/>
          <w:sz w:val="24"/>
          <w:highlight w:val="none"/>
        </w:rPr>
        <w:t>.4.2大写金额和小写金额不一致的，以大写金额为准。</w:t>
      </w:r>
    </w:p>
    <w:p w14:paraId="1278A537">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6</w:t>
      </w:r>
      <w:r>
        <w:rPr>
          <w:rFonts w:ascii="Times New Roman" w:hAnsi="Times New Roman"/>
          <w:bCs/>
          <w:sz w:val="24"/>
          <w:highlight w:val="none"/>
        </w:rPr>
        <w:t>.4.3单价金额小数点或者百分比有明显错位的，以开标一览表的总价为准，并修改单价。</w:t>
      </w:r>
    </w:p>
    <w:p w14:paraId="6524E18A">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6</w:t>
      </w:r>
      <w:r>
        <w:rPr>
          <w:rFonts w:ascii="Times New Roman" w:hAnsi="Times New Roman"/>
          <w:bCs/>
          <w:sz w:val="24"/>
          <w:highlight w:val="none"/>
        </w:rPr>
        <w:t>.4.4总价金额与按单价汇总金额不一致的，以单价金额计算结果为准。</w:t>
      </w:r>
    </w:p>
    <w:p w14:paraId="469E51D0">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同时出现两种以上错误的，按照前款规定的顺序修正。</w:t>
      </w:r>
    </w:p>
    <w:p w14:paraId="2CB87869">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6</w:t>
      </w:r>
      <w:r>
        <w:rPr>
          <w:rFonts w:ascii="Times New Roman" w:hAnsi="Times New Roman"/>
          <w:bCs/>
          <w:sz w:val="24"/>
          <w:highlight w:val="none"/>
        </w:rPr>
        <w:t>.5评委会将按上述修正错误的方法调整投标文件中的投标报价，调整后的价格应对供应商具有约束力。如果供应商不接受修正后的价格，则其投标将被拒绝。</w:t>
      </w:r>
    </w:p>
    <w:p w14:paraId="269FB69E">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6</w:t>
      </w:r>
      <w:r>
        <w:rPr>
          <w:rFonts w:ascii="Times New Roman" w:hAnsi="Times New Roman"/>
          <w:bCs/>
          <w:sz w:val="24"/>
          <w:highlight w:val="none"/>
        </w:rPr>
        <w:t>.6评委会将允许修正投标文件中不构成重大偏离的、微小的、非正规的、不一致的或不规则的地方，但这些修改不能影响任何供应商相应的名次排列。</w:t>
      </w:r>
    </w:p>
    <w:p w14:paraId="1560ED94">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6</w:t>
      </w:r>
      <w:r>
        <w:rPr>
          <w:rFonts w:ascii="Times New Roman" w:hAnsi="Times New Roman"/>
          <w:bCs/>
          <w:sz w:val="24"/>
          <w:highlight w:val="none"/>
        </w:rPr>
        <w:t>.7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p>
    <w:p w14:paraId="7351AD8D">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使用综合评分法的采购项目，提供相同品牌产品且通过资格审查、符合性审查的不同供应商参加同一合同项下投标的，按一家供应商计算，评审后得分最高的同品牌供应商获得中标人推荐资格；评审得分相同的，由评标委员会根据招标文件规定的方式（招标文件未规定的采取随机抽取的方式）确定一个中标候选人，其他同品牌供应商不作为中标候选人。</w:t>
      </w:r>
    </w:p>
    <w:p w14:paraId="77517D9D">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非单一产品采购项目，招标文件中将载明其中的核心产品。多家供应商提供的核心产品品牌相同的，按前两款规定处理。</w:t>
      </w:r>
    </w:p>
    <w:p w14:paraId="1958746D">
      <w:pPr>
        <w:spacing w:line="538" w:lineRule="exact"/>
        <w:ind w:firstLine="489" w:firstLineChars="204"/>
        <w:rPr>
          <w:rFonts w:hint="eastAsia" w:ascii="Times New Roman" w:hAnsi="Times New Roman"/>
          <w:bCs/>
          <w:sz w:val="24"/>
          <w:highlight w:val="none"/>
          <w:lang w:val="en-US" w:eastAsia="zh-CN"/>
        </w:rPr>
      </w:pPr>
      <w:r>
        <w:rPr>
          <w:rFonts w:ascii="Times New Roman" w:hAnsi="Times New Roman"/>
          <w:bCs/>
          <w:sz w:val="24"/>
          <w:highlight w:val="none"/>
        </w:rPr>
        <w:t>2</w:t>
      </w:r>
      <w:r>
        <w:rPr>
          <w:rFonts w:hint="eastAsia" w:ascii="Times New Roman" w:hAnsi="Times New Roman"/>
          <w:bCs/>
          <w:sz w:val="24"/>
          <w:highlight w:val="none"/>
        </w:rPr>
        <w:t>6</w:t>
      </w:r>
      <w:r>
        <w:rPr>
          <w:rFonts w:ascii="Times New Roman" w:hAnsi="Times New Roman"/>
          <w:bCs/>
          <w:sz w:val="24"/>
          <w:highlight w:val="none"/>
        </w:rPr>
        <w:t>.</w:t>
      </w:r>
      <w:r>
        <w:rPr>
          <w:rFonts w:hint="eastAsia"/>
          <w:bCs/>
          <w:sz w:val="24"/>
          <w:highlight w:val="none"/>
          <w:lang w:val="en-US" w:eastAsia="zh-CN"/>
        </w:rPr>
        <w:t>8</w:t>
      </w:r>
      <w:r>
        <w:rPr>
          <w:rFonts w:hint="eastAsia" w:ascii="Times New Roman" w:hAnsi="Times New Roman"/>
          <w:bCs/>
          <w:sz w:val="24"/>
          <w:highlight w:val="none"/>
          <w:lang w:val="en-US" w:eastAsia="zh-CN"/>
        </w:rPr>
        <w:t xml:space="preserve"> 根据财库〔2026〕2号文件规定，如出现以下之一情形，评审委员会启动异常低价投标审查。</w:t>
      </w:r>
    </w:p>
    <w:p w14:paraId="6E32C318">
      <w:pPr>
        <w:spacing w:line="538" w:lineRule="exact"/>
        <w:ind w:firstLine="489" w:firstLineChars="204"/>
        <w:rPr>
          <w:rFonts w:hint="eastAsia" w:ascii="Times New Roman" w:hAnsi="Times New Roman"/>
          <w:bCs/>
          <w:sz w:val="24"/>
          <w:highlight w:val="none"/>
          <w:lang w:val="en-US" w:eastAsia="zh-CN"/>
        </w:rPr>
      </w:pPr>
      <w:r>
        <w:rPr>
          <w:rFonts w:hint="eastAsia" w:ascii="Times New Roman" w:hAnsi="Times New Roman"/>
          <w:bCs/>
          <w:sz w:val="24"/>
          <w:highlight w:val="none"/>
          <w:lang w:val="en-US" w:eastAsia="zh-CN"/>
        </w:rPr>
        <w:t>26.</w:t>
      </w:r>
      <w:r>
        <w:rPr>
          <w:rFonts w:hint="eastAsia"/>
          <w:bCs/>
          <w:sz w:val="24"/>
          <w:highlight w:val="none"/>
          <w:lang w:val="en-US" w:eastAsia="zh-CN"/>
        </w:rPr>
        <w:t>8</w:t>
      </w:r>
      <w:r>
        <w:rPr>
          <w:rFonts w:hint="eastAsia" w:ascii="Times New Roman" w:hAnsi="Times New Roman"/>
          <w:bCs/>
          <w:sz w:val="24"/>
          <w:highlight w:val="none"/>
          <w:lang w:val="en-US" w:eastAsia="zh-CN"/>
        </w:rPr>
        <w:t>.1 投标（响应）报价低于全部通过符合性审查供应商投标（响应）报价平均值50%的，即投标（响应）报价&lt;全部通过符合性审查供应商投标（响应）报价平均值×50%；</w:t>
      </w:r>
    </w:p>
    <w:p w14:paraId="435BA68D">
      <w:pPr>
        <w:spacing w:line="538" w:lineRule="exact"/>
        <w:ind w:firstLine="489" w:firstLineChars="204"/>
        <w:rPr>
          <w:rFonts w:hint="eastAsia" w:ascii="Times New Roman" w:hAnsi="Times New Roman"/>
          <w:bCs/>
          <w:sz w:val="24"/>
          <w:highlight w:val="none"/>
          <w:lang w:val="en-US" w:eastAsia="zh-CN"/>
        </w:rPr>
      </w:pPr>
      <w:r>
        <w:rPr>
          <w:rFonts w:hint="eastAsia" w:ascii="Times New Roman" w:hAnsi="Times New Roman"/>
          <w:bCs/>
          <w:sz w:val="24"/>
          <w:highlight w:val="none"/>
          <w:lang w:val="en-US" w:eastAsia="zh-CN"/>
        </w:rPr>
        <w:t>26.</w:t>
      </w:r>
      <w:r>
        <w:rPr>
          <w:rFonts w:hint="eastAsia"/>
          <w:bCs/>
          <w:sz w:val="24"/>
          <w:highlight w:val="none"/>
          <w:lang w:val="en-US" w:eastAsia="zh-CN"/>
        </w:rPr>
        <w:t>8</w:t>
      </w:r>
      <w:r>
        <w:rPr>
          <w:rFonts w:hint="eastAsia" w:ascii="Times New Roman" w:hAnsi="Times New Roman"/>
          <w:bCs/>
          <w:sz w:val="24"/>
          <w:highlight w:val="none"/>
          <w:lang w:val="en-US" w:eastAsia="zh-CN"/>
        </w:rPr>
        <w:t>.2 投标（响应）报价低于通过符合性审查的次低报价供应商投标（响应）报价50%的，即投标（响应）报价&lt;通过符合性审查的次低报价供应商投标（响应）报价×50%；</w:t>
      </w:r>
    </w:p>
    <w:p w14:paraId="1F4D541A">
      <w:pPr>
        <w:spacing w:line="538" w:lineRule="exact"/>
        <w:ind w:firstLine="489" w:firstLineChars="204"/>
        <w:rPr>
          <w:rFonts w:hint="eastAsia" w:ascii="Times New Roman" w:hAnsi="Times New Roman"/>
          <w:bCs/>
          <w:sz w:val="24"/>
          <w:highlight w:val="none"/>
          <w:lang w:val="en-US" w:eastAsia="zh-CN"/>
        </w:rPr>
      </w:pPr>
      <w:r>
        <w:rPr>
          <w:rFonts w:hint="eastAsia" w:ascii="Times New Roman" w:hAnsi="Times New Roman"/>
          <w:bCs/>
          <w:sz w:val="24"/>
          <w:highlight w:val="none"/>
          <w:lang w:val="en-US" w:eastAsia="zh-CN"/>
        </w:rPr>
        <w:t>26.</w:t>
      </w:r>
      <w:r>
        <w:rPr>
          <w:rFonts w:hint="eastAsia"/>
          <w:bCs/>
          <w:sz w:val="24"/>
          <w:highlight w:val="none"/>
          <w:lang w:val="en-US" w:eastAsia="zh-CN"/>
        </w:rPr>
        <w:t>8</w:t>
      </w:r>
      <w:r>
        <w:rPr>
          <w:rFonts w:hint="eastAsia" w:ascii="Times New Roman" w:hAnsi="Times New Roman"/>
          <w:bCs/>
          <w:sz w:val="24"/>
          <w:highlight w:val="none"/>
          <w:lang w:val="en-US" w:eastAsia="zh-CN"/>
        </w:rPr>
        <w:t>.3 投标（响应）报价低于采购项目最高限价45%的，即投标（响应）报价&lt;采购项目最高限价×45%；</w:t>
      </w:r>
    </w:p>
    <w:p w14:paraId="7777DBD8">
      <w:pPr>
        <w:spacing w:line="538" w:lineRule="exact"/>
        <w:ind w:firstLine="489" w:firstLineChars="204"/>
        <w:rPr>
          <w:rFonts w:hint="eastAsia" w:ascii="Times New Roman" w:hAnsi="Times New Roman"/>
          <w:bCs/>
          <w:sz w:val="24"/>
          <w:highlight w:val="none"/>
          <w:lang w:val="en-US" w:eastAsia="zh-CN"/>
        </w:rPr>
      </w:pPr>
      <w:r>
        <w:rPr>
          <w:rFonts w:hint="eastAsia" w:ascii="Times New Roman" w:hAnsi="Times New Roman"/>
          <w:bCs/>
          <w:sz w:val="24"/>
          <w:highlight w:val="none"/>
          <w:lang w:val="en-US" w:eastAsia="zh-CN"/>
        </w:rPr>
        <w:t>26.</w:t>
      </w:r>
      <w:r>
        <w:rPr>
          <w:rFonts w:hint="eastAsia"/>
          <w:bCs/>
          <w:sz w:val="24"/>
          <w:highlight w:val="none"/>
          <w:lang w:val="en-US" w:eastAsia="zh-CN"/>
        </w:rPr>
        <w:t>8</w:t>
      </w:r>
      <w:r>
        <w:rPr>
          <w:rFonts w:hint="eastAsia" w:ascii="Times New Roman" w:hAnsi="Times New Roman"/>
          <w:bCs/>
          <w:sz w:val="24"/>
          <w:highlight w:val="none"/>
          <w:lang w:val="en-US" w:eastAsia="zh-CN"/>
        </w:rPr>
        <w:t>.</w:t>
      </w:r>
      <w:r>
        <w:rPr>
          <w:rFonts w:hint="eastAsia"/>
          <w:bCs/>
          <w:sz w:val="24"/>
          <w:highlight w:val="none"/>
          <w:lang w:val="en-US" w:eastAsia="zh-CN"/>
        </w:rPr>
        <w:t xml:space="preserve">4 </w:t>
      </w:r>
      <w:r>
        <w:rPr>
          <w:rFonts w:hint="eastAsia" w:ascii="Times New Roman" w:hAnsi="Times New Roman"/>
          <w:bCs/>
          <w:sz w:val="24"/>
          <w:highlight w:val="none"/>
          <w:lang w:val="en-US" w:eastAsia="zh-CN"/>
        </w:rPr>
        <w:t>评审委员会基于专业判断，认为供应商报价过低，有可能影响产品质量或者不能诚信履约的其他情形。</w:t>
      </w:r>
    </w:p>
    <w:p w14:paraId="1FA36F1A">
      <w:pPr>
        <w:spacing w:line="538" w:lineRule="exact"/>
        <w:ind w:firstLine="489" w:firstLineChars="204"/>
        <w:rPr>
          <w:rFonts w:hint="default" w:ascii="Times New Roman" w:hAnsi="Times New Roman"/>
          <w:bCs/>
          <w:sz w:val="24"/>
          <w:highlight w:val="none"/>
          <w:lang w:val="en-US" w:eastAsia="zh-CN"/>
        </w:rPr>
      </w:pPr>
      <w:r>
        <w:rPr>
          <w:rFonts w:hint="eastAsia" w:ascii="Times New Roman" w:hAnsi="Times New Roman"/>
          <w:bCs/>
          <w:sz w:val="24"/>
          <w:highlight w:val="none"/>
          <w:lang w:val="en-US" w:eastAsia="zh-CN"/>
        </w:rPr>
        <w:t>26.</w:t>
      </w:r>
      <w:r>
        <w:rPr>
          <w:rFonts w:hint="eastAsia"/>
          <w:bCs/>
          <w:sz w:val="24"/>
          <w:highlight w:val="none"/>
          <w:lang w:val="en-US" w:eastAsia="zh-CN"/>
        </w:rPr>
        <w:t xml:space="preserve">9 </w:t>
      </w:r>
      <w:r>
        <w:rPr>
          <w:rFonts w:hint="eastAsia" w:ascii="Times New Roman" w:hAnsi="Times New Roman"/>
          <w:bCs/>
          <w:sz w:val="24"/>
          <w:highlight w:val="none"/>
          <w:lang w:val="en-US" w:eastAsia="zh-CN"/>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Start w:id="220" w:name="_GoBack"/>
      <w:bookmarkEnd w:id="220"/>
    </w:p>
    <w:p w14:paraId="285B3CA3">
      <w:pPr>
        <w:keepNext/>
        <w:keepLines/>
        <w:spacing w:line="538" w:lineRule="exact"/>
        <w:ind w:right="-44" w:firstLine="490" w:firstLineChars="175"/>
        <w:outlineLvl w:val="3"/>
        <w:rPr>
          <w:rFonts w:ascii="Times New Roman" w:hAnsi="Times New Roman" w:eastAsia="黑体"/>
          <w:sz w:val="28"/>
          <w:szCs w:val="28"/>
          <w:highlight w:val="none"/>
        </w:rPr>
      </w:pPr>
      <w:r>
        <w:rPr>
          <w:rFonts w:ascii="Times New Roman" w:hAnsi="Times New Roman" w:eastAsia="黑体"/>
          <w:sz w:val="28"/>
          <w:szCs w:val="28"/>
          <w:highlight w:val="none"/>
        </w:rPr>
        <w:t>27．无效投标条款和废标条款</w:t>
      </w:r>
    </w:p>
    <w:p w14:paraId="5A9B327E">
      <w:pPr>
        <w:spacing w:line="538" w:lineRule="exact"/>
        <w:ind w:firstLine="489" w:firstLineChars="204"/>
        <w:rPr>
          <w:rFonts w:ascii="Times New Roman" w:hAnsi="Times New Roman"/>
          <w:bCs/>
          <w:sz w:val="24"/>
          <w:highlight w:val="none"/>
        </w:rPr>
      </w:pPr>
      <w:bookmarkStart w:id="152" w:name="_Toc20823307"/>
      <w:bookmarkStart w:id="153" w:name="_Toc513029235"/>
      <w:bookmarkStart w:id="154" w:name="_Toc16938551"/>
      <w:r>
        <w:rPr>
          <w:rFonts w:ascii="Times New Roman" w:hAnsi="Times New Roman"/>
          <w:bCs/>
          <w:sz w:val="24"/>
          <w:highlight w:val="none"/>
        </w:rPr>
        <w:t>2</w:t>
      </w:r>
      <w:r>
        <w:rPr>
          <w:rFonts w:hint="eastAsia" w:ascii="Times New Roman" w:hAnsi="Times New Roman"/>
          <w:bCs/>
          <w:sz w:val="24"/>
          <w:highlight w:val="none"/>
        </w:rPr>
        <w:t>7</w:t>
      </w:r>
      <w:r>
        <w:rPr>
          <w:rFonts w:ascii="Times New Roman" w:hAnsi="Times New Roman"/>
          <w:bCs/>
          <w:sz w:val="24"/>
          <w:highlight w:val="none"/>
        </w:rPr>
        <w:t>.1 无效投标条款：</w:t>
      </w:r>
    </w:p>
    <w:p w14:paraId="5EBF65A4">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7</w:t>
      </w:r>
      <w:r>
        <w:rPr>
          <w:rFonts w:ascii="Times New Roman" w:hAnsi="Times New Roman"/>
          <w:bCs/>
          <w:sz w:val="24"/>
          <w:highlight w:val="none"/>
        </w:rPr>
        <w:t>.1.</w:t>
      </w:r>
      <w:r>
        <w:rPr>
          <w:rFonts w:hint="eastAsia" w:ascii="Times New Roman" w:hAnsi="Times New Roman"/>
          <w:bCs/>
          <w:sz w:val="24"/>
          <w:highlight w:val="none"/>
        </w:rPr>
        <w:t>1</w:t>
      </w:r>
      <w:r>
        <w:rPr>
          <w:rFonts w:ascii="Times New Roman" w:hAnsi="Times New Roman"/>
          <w:bCs/>
          <w:sz w:val="24"/>
          <w:highlight w:val="none"/>
        </w:rPr>
        <w:t>投标文件密封、签署、盖章不符合招标文件要求的；</w:t>
      </w:r>
    </w:p>
    <w:p w14:paraId="30830779">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7</w:t>
      </w:r>
      <w:r>
        <w:rPr>
          <w:rFonts w:ascii="Times New Roman" w:hAnsi="Times New Roman"/>
          <w:bCs/>
          <w:sz w:val="24"/>
          <w:highlight w:val="none"/>
        </w:rPr>
        <w:t>.1.</w:t>
      </w:r>
      <w:r>
        <w:rPr>
          <w:rFonts w:hint="eastAsia" w:ascii="Times New Roman" w:hAnsi="Times New Roman"/>
          <w:bCs/>
          <w:sz w:val="24"/>
          <w:highlight w:val="none"/>
        </w:rPr>
        <w:t>2</w:t>
      </w:r>
      <w:r>
        <w:rPr>
          <w:rFonts w:ascii="Times New Roman" w:hAnsi="Times New Roman"/>
          <w:bCs/>
          <w:sz w:val="24"/>
          <w:highlight w:val="none"/>
        </w:rPr>
        <w:t>供应商不具备招标文件中规定资格要求的；</w:t>
      </w:r>
    </w:p>
    <w:p w14:paraId="1FE359EB">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7</w:t>
      </w:r>
      <w:r>
        <w:rPr>
          <w:rFonts w:ascii="Times New Roman" w:hAnsi="Times New Roman"/>
          <w:bCs/>
          <w:sz w:val="24"/>
          <w:highlight w:val="none"/>
        </w:rPr>
        <w:t>.1.</w:t>
      </w:r>
      <w:r>
        <w:rPr>
          <w:rFonts w:hint="eastAsia" w:ascii="Times New Roman" w:hAnsi="Times New Roman"/>
          <w:bCs/>
          <w:sz w:val="24"/>
          <w:highlight w:val="none"/>
        </w:rPr>
        <w:t>3</w:t>
      </w:r>
      <w:r>
        <w:rPr>
          <w:rFonts w:ascii="Times New Roman" w:hAnsi="Times New Roman"/>
          <w:bCs/>
          <w:sz w:val="24"/>
          <w:highlight w:val="none"/>
        </w:rPr>
        <w:t>供应商在报价时采用选择性报价的；</w:t>
      </w:r>
    </w:p>
    <w:p w14:paraId="68D13614">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7</w:t>
      </w:r>
      <w:r>
        <w:rPr>
          <w:rFonts w:ascii="Times New Roman" w:hAnsi="Times New Roman"/>
          <w:bCs/>
          <w:sz w:val="24"/>
          <w:highlight w:val="none"/>
        </w:rPr>
        <w:t>.1.</w:t>
      </w:r>
      <w:r>
        <w:rPr>
          <w:rFonts w:hint="eastAsia" w:ascii="Times New Roman" w:hAnsi="Times New Roman"/>
          <w:bCs/>
          <w:sz w:val="24"/>
          <w:highlight w:val="none"/>
        </w:rPr>
        <w:t>4</w:t>
      </w:r>
      <w:r>
        <w:rPr>
          <w:rFonts w:ascii="Times New Roman" w:hAnsi="Times New Roman"/>
          <w:bCs/>
          <w:sz w:val="24"/>
          <w:highlight w:val="none"/>
        </w:rPr>
        <w:t>供应商的报价超过了采购预算或最高限价的；</w:t>
      </w:r>
    </w:p>
    <w:p w14:paraId="3E6A91F6">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7</w:t>
      </w:r>
      <w:r>
        <w:rPr>
          <w:rFonts w:ascii="Times New Roman" w:hAnsi="Times New Roman"/>
          <w:bCs/>
          <w:sz w:val="24"/>
          <w:highlight w:val="none"/>
        </w:rPr>
        <w:t>.1.</w:t>
      </w:r>
      <w:r>
        <w:rPr>
          <w:rFonts w:hint="eastAsia" w:ascii="Times New Roman" w:hAnsi="Times New Roman"/>
          <w:bCs/>
          <w:sz w:val="24"/>
          <w:highlight w:val="none"/>
        </w:rPr>
        <w:t>5</w:t>
      </w:r>
      <w:r>
        <w:rPr>
          <w:rFonts w:ascii="Times New Roman" w:hAnsi="Times New Roman"/>
          <w:bCs/>
          <w:sz w:val="24"/>
          <w:highlight w:val="none"/>
        </w:rPr>
        <w:t>未通过符合性检查的；</w:t>
      </w:r>
    </w:p>
    <w:p w14:paraId="4ABC74CB">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7</w:t>
      </w:r>
      <w:r>
        <w:rPr>
          <w:rFonts w:ascii="Times New Roman" w:hAnsi="Times New Roman"/>
          <w:bCs/>
          <w:sz w:val="24"/>
          <w:highlight w:val="none"/>
        </w:rPr>
        <w:t>.1.</w:t>
      </w:r>
      <w:r>
        <w:rPr>
          <w:rFonts w:hint="eastAsia" w:ascii="Times New Roman" w:hAnsi="Times New Roman"/>
          <w:bCs/>
          <w:sz w:val="24"/>
          <w:highlight w:val="none"/>
        </w:rPr>
        <w:t>6</w:t>
      </w:r>
      <w:r>
        <w:rPr>
          <w:rFonts w:ascii="Times New Roman" w:hAnsi="Times New Roman"/>
          <w:bCs/>
          <w:sz w:val="24"/>
          <w:highlight w:val="none"/>
        </w:rPr>
        <w:t>不符合招标文件中规定的其他实质性要求和条件的</w:t>
      </w:r>
      <w:r>
        <w:rPr>
          <w:rFonts w:ascii="Times New Roman" w:hAnsi="Times New Roman"/>
          <w:bCs/>
          <w:i/>
          <w:sz w:val="24"/>
          <w:highlight w:val="none"/>
          <w:u w:val="single"/>
        </w:rPr>
        <w:t>（本招标文件中标注</w:t>
      </w:r>
      <w:r>
        <w:rPr>
          <w:i/>
          <w:sz w:val="24"/>
          <w:szCs w:val="24"/>
          <w:highlight w:val="none"/>
          <w:u w:val="single"/>
        </w:rPr>
        <w:t>斜体下划线</w:t>
      </w:r>
      <w:r>
        <w:rPr>
          <w:rFonts w:ascii="Times New Roman" w:hAnsi="Times New Roman"/>
          <w:bCs/>
          <w:i/>
          <w:sz w:val="24"/>
          <w:highlight w:val="none"/>
          <w:u w:val="single"/>
        </w:rPr>
        <w:t>部分为实质性要求和条件</w:t>
      </w:r>
      <w:r>
        <w:rPr>
          <w:rFonts w:ascii="Times New Roman" w:hAnsi="Times New Roman"/>
          <w:bCs/>
          <w:sz w:val="24"/>
          <w:highlight w:val="none"/>
        </w:rPr>
        <w:t>）。</w:t>
      </w:r>
    </w:p>
    <w:p w14:paraId="6491D5B1">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7</w:t>
      </w:r>
      <w:r>
        <w:rPr>
          <w:rFonts w:ascii="Times New Roman" w:hAnsi="Times New Roman"/>
          <w:bCs/>
          <w:sz w:val="24"/>
          <w:highlight w:val="none"/>
        </w:rPr>
        <w:t>.1.</w:t>
      </w:r>
      <w:bookmarkStart w:id="155" w:name="_Hlk145317408"/>
      <w:r>
        <w:rPr>
          <w:rFonts w:hint="eastAsia" w:ascii="Times New Roman" w:hAnsi="Times New Roman"/>
          <w:bCs/>
          <w:sz w:val="24"/>
          <w:highlight w:val="none"/>
        </w:rPr>
        <w:t>7</w:t>
      </w:r>
      <w:r>
        <w:rPr>
          <w:rFonts w:ascii="Times New Roman" w:hAnsi="Times New Roman"/>
          <w:bCs/>
          <w:sz w:val="24"/>
          <w:highlight w:val="none"/>
        </w:rPr>
        <w:t xml:space="preserve">供应商被 </w:t>
      </w:r>
      <w:r>
        <w:rPr>
          <w:rFonts w:hint="eastAsia" w:ascii="Times New Roman" w:hAnsi="Times New Roman"/>
          <w:bCs/>
          <w:sz w:val="24"/>
          <w:highlight w:val="none"/>
        </w:rPr>
        <w:t>“信用中国”、“中国政府采购网”列入失信被执行人、重大税收违法案件当事人名单、政府采购严重失信行为记录名单及不符合《中华人民共和国政府采购法》第二十二条规定条件的情形</w:t>
      </w:r>
      <w:bookmarkEnd w:id="155"/>
      <w:r>
        <w:rPr>
          <w:rFonts w:hint="eastAsia" w:ascii="Times New Roman" w:hAnsi="Times New Roman"/>
          <w:bCs/>
          <w:sz w:val="24"/>
          <w:highlight w:val="none"/>
        </w:rPr>
        <w:t>。</w:t>
      </w:r>
    </w:p>
    <w:p w14:paraId="3CC9BF34">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7</w:t>
      </w:r>
      <w:r>
        <w:rPr>
          <w:rFonts w:ascii="Times New Roman" w:hAnsi="Times New Roman"/>
          <w:bCs/>
          <w:sz w:val="24"/>
          <w:highlight w:val="none"/>
        </w:rPr>
        <w:t>.1.</w:t>
      </w:r>
      <w:r>
        <w:rPr>
          <w:rFonts w:hint="eastAsia" w:ascii="Times New Roman" w:hAnsi="Times New Roman"/>
          <w:bCs/>
          <w:sz w:val="24"/>
          <w:highlight w:val="none"/>
        </w:rPr>
        <w:t>8</w:t>
      </w:r>
      <w:r>
        <w:rPr>
          <w:rFonts w:ascii="Times New Roman" w:hAnsi="Times New Roman"/>
          <w:bCs/>
          <w:sz w:val="24"/>
          <w:highlight w:val="none"/>
        </w:rPr>
        <w:t>投标文件含有采购人不能接受的附加条件的。</w:t>
      </w:r>
    </w:p>
    <w:p w14:paraId="64292D8C">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7</w:t>
      </w:r>
      <w:r>
        <w:rPr>
          <w:rFonts w:ascii="Times New Roman" w:hAnsi="Times New Roman"/>
          <w:bCs/>
          <w:sz w:val="24"/>
          <w:highlight w:val="none"/>
        </w:rPr>
        <w:t>.1.</w:t>
      </w:r>
      <w:r>
        <w:rPr>
          <w:rFonts w:hint="eastAsia" w:ascii="Times New Roman" w:hAnsi="Times New Roman"/>
          <w:bCs/>
          <w:sz w:val="24"/>
          <w:highlight w:val="none"/>
        </w:rPr>
        <w:t>9</w:t>
      </w:r>
      <w:r>
        <w:rPr>
          <w:rFonts w:ascii="Times New Roman" w:hAnsi="Times New Roman"/>
          <w:bCs/>
          <w:sz w:val="24"/>
          <w:highlight w:val="none"/>
        </w:rPr>
        <w:t>评委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p w14:paraId="6D6002F2">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7</w:t>
      </w:r>
      <w:r>
        <w:rPr>
          <w:rFonts w:ascii="Times New Roman" w:hAnsi="Times New Roman"/>
          <w:bCs/>
          <w:sz w:val="24"/>
          <w:highlight w:val="none"/>
        </w:rPr>
        <w:t>.1.1</w:t>
      </w:r>
      <w:r>
        <w:rPr>
          <w:rFonts w:hint="eastAsia" w:ascii="Times New Roman" w:hAnsi="Times New Roman"/>
          <w:bCs/>
          <w:sz w:val="24"/>
          <w:highlight w:val="none"/>
        </w:rPr>
        <w:t>0</w:t>
      </w:r>
      <w:r>
        <w:rPr>
          <w:rFonts w:ascii="Times New Roman" w:hAnsi="Times New Roman"/>
          <w:bCs/>
          <w:sz w:val="24"/>
          <w:highlight w:val="none"/>
        </w:rPr>
        <w:t>其他法律、法规及本招标文件规定的属无效投标的情形。</w:t>
      </w:r>
    </w:p>
    <w:p w14:paraId="2A67CBDF">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7</w:t>
      </w:r>
      <w:r>
        <w:rPr>
          <w:rFonts w:ascii="Times New Roman" w:hAnsi="Times New Roman"/>
          <w:bCs/>
          <w:sz w:val="24"/>
          <w:highlight w:val="none"/>
        </w:rPr>
        <w:t>.2废标条款：</w:t>
      </w:r>
    </w:p>
    <w:p w14:paraId="38EB8863">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7</w:t>
      </w:r>
      <w:r>
        <w:rPr>
          <w:rFonts w:ascii="Times New Roman" w:hAnsi="Times New Roman"/>
          <w:bCs/>
          <w:sz w:val="24"/>
          <w:highlight w:val="none"/>
        </w:rPr>
        <w:t>.2.1符合专业条件的供应商或者对招标文件作实质性响应的供应商不足三家的；</w:t>
      </w:r>
    </w:p>
    <w:p w14:paraId="78A7E1B0">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7</w:t>
      </w:r>
      <w:r>
        <w:rPr>
          <w:rFonts w:ascii="Times New Roman" w:hAnsi="Times New Roman"/>
          <w:bCs/>
          <w:sz w:val="24"/>
          <w:highlight w:val="none"/>
        </w:rPr>
        <w:t>.2.2出现影响采购公正的违法、违规行为的；</w:t>
      </w:r>
    </w:p>
    <w:p w14:paraId="21F5141A">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7</w:t>
      </w:r>
      <w:r>
        <w:rPr>
          <w:rFonts w:ascii="Times New Roman" w:hAnsi="Times New Roman"/>
          <w:bCs/>
          <w:sz w:val="24"/>
          <w:highlight w:val="none"/>
        </w:rPr>
        <w:t>.2.3招标人因重大变故，采购任务取消的；</w:t>
      </w:r>
    </w:p>
    <w:p w14:paraId="5359BBE8">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7</w:t>
      </w:r>
      <w:r>
        <w:rPr>
          <w:rFonts w:ascii="Times New Roman" w:hAnsi="Times New Roman"/>
          <w:bCs/>
          <w:sz w:val="24"/>
          <w:highlight w:val="none"/>
        </w:rPr>
        <w:t>.2.4评委会认定招标文件存在歧义、重大缺陷导致评审工作无法进行。</w:t>
      </w:r>
    </w:p>
    <w:p w14:paraId="3383D6F6">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7</w:t>
      </w:r>
      <w:r>
        <w:rPr>
          <w:rFonts w:ascii="Times New Roman" w:hAnsi="Times New Roman"/>
          <w:bCs/>
          <w:sz w:val="24"/>
          <w:highlight w:val="none"/>
        </w:rPr>
        <w:t>.3投标截止时间结束后参加投标的供应商不足三家的处理：</w:t>
      </w:r>
    </w:p>
    <w:p w14:paraId="64492B01">
      <w:pPr>
        <w:spacing w:line="538" w:lineRule="exact"/>
        <w:ind w:firstLine="489" w:firstLineChars="204"/>
        <w:rPr>
          <w:rFonts w:ascii="Times New Roman" w:hAnsi="Times New Roman"/>
          <w:bCs/>
          <w:sz w:val="24"/>
          <w:highlight w:val="none"/>
        </w:rPr>
      </w:pPr>
      <w:bookmarkStart w:id="156" w:name="_Toc120614219"/>
      <w:r>
        <w:rPr>
          <w:rFonts w:ascii="Times New Roman" w:hAnsi="Times New Roman"/>
          <w:bCs/>
          <w:sz w:val="24"/>
          <w:highlight w:val="none"/>
        </w:rPr>
        <w:t>如出现投标截止时间结束后参加投标的供应商或者在评标期间对招标文件做出实质响应的供应商不足三家情况，按政府采购相关规定执行。</w:t>
      </w:r>
    </w:p>
    <w:p w14:paraId="134DF067">
      <w:pPr>
        <w:keepNext/>
        <w:keepLines/>
        <w:spacing w:line="520" w:lineRule="exact"/>
        <w:ind w:firstLine="482" w:firstLineChars="150"/>
        <w:outlineLvl w:val="2"/>
        <w:rPr>
          <w:rFonts w:ascii="Times New Roman" w:hAnsi="Times New Roman"/>
          <w:b/>
          <w:bCs/>
          <w:sz w:val="32"/>
          <w:szCs w:val="32"/>
          <w:highlight w:val="none"/>
        </w:rPr>
      </w:pPr>
      <w:r>
        <w:rPr>
          <w:rFonts w:ascii="Times New Roman" w:hAnsi="Times New Roman"/>
          <w:b/>
          <w:bCs/>
          <w:sz w:val="32"/>
          <w:szCs w:val="32"/>
          <w:highlight w:val="none"/>
        </w:rPr>
        <w:t>六、</w:t>
      </w:r>
      <w:bookmarkEnd w:id="152"/>
      <w:bookmarkEnd w:id="153"/>
      <w:bookmarkEnd w:id="154"/>
      <w:r>
        <w:rPr>
          <w:rFonts w:ascii="Times New Roman" w:hAnsi="Times New Roman"/>
          <w:b/>
          <w:bCs/>
          <w:sz w:val="32"/>
          <w:szCs w:val="32"/>
          <w:highlight w:val="none"/>
        </w:rPr>
        <w:t>定标</w:t>
      </w:r>
      <w:bookmarkEnd w:id="156"/>
    </w:p>
    <w:p w14:paraId="25D83362">
      <w:pPr>
        <w:keepNext/>
        <w:keepLines/>
        <w:spacing w:line="538" w:lineRule="exact"/>
        <w:ind w:right="-44" w:firstLine="490" w:firstLineChars="175"/>
        <w:outlineLvl w:val="3"/>
        <w:rPr>
          <w:rFonts w:ascii="Times New Roman" w:hAnsi="Times New Roman" w:eastAsia="黑体"/>
          <w:sz w:val="28"/>
          <w:szCs w:val="28"/>
          <w:highlight w:val="none"/>
        </w:rPr>
      </w:pPr>
      <w:bookmarkStart w:id="157" w:name="_Toc513029238"/>
      <w:bookmarkStart w:id="158" w:name="_Toc20823310"/>
      <w:bookmarkStart w:id="159" w:name="_Toc16938554"/>
      <w:r>
        <w:rPr>
          <w:rFonts w:ascii="Times New Roman" w:hAnsi="Times New Roman" w:eastAsia="黑体"/>
          <w:sz w:val="28"/>
          <w:szCs w:val="28"/>
          <w:highlight w:val="none"/>
        </w:rPr>
        <w:t>2</w:t>
      </w:r>
      <w:bookmarkEnd w:id="157"/>
      <w:r>
        <w:rPr>
          <w:rFonts w:hint="eastAsia" w:ascii="Times New Roman" w:hAnsi="Times New Roman" w:eastAsia="黑体"/>
          <w:sz w:val="28"/>
          <w:szCs w:val="28"/>
          <w:highlight w:val="none"/>
        </w:rPr>
        <w:t>8</w:t>
      </w:r>
      <w:r>
        <w:rPr>
          <w:rFonts w:ascii="Times New Roman" w:hAnsi="Times New Roman" w:eastAsia="黑体"/>
          <w:sz w:val="28"/>
          <w:szCs w:val="28"/>
          <w:highlight w:val="none"/>
        </w:rPr>
        <w:t>．确定</w:t>
      </w:r>
      <w:bookmarkEnd w:id="158"/>
      <w:bookmarkEnd w:id="159"/>
      <w:r>
        <w:rPr>
          <w:rFonts w:ascii="Times New Roman" w:hAnsi="Times New Roman" w:eastAsia="黑体"/>
          <w:sz w:val="28"/>
          <w:szCs w:val="28"/>
          <w:highlight w:val="none"/>
        </w:rPr>
        <w:t>中标单位</w:t>
      </w:r>
    </w:p>
    <w:p w14:paraId="79E3EC1D">
      <w:pPr>
        <w:spacing w:line="538" w:lineRule="exact"/>
        <w:ind w:firstLine="489" w:firstLineChars="204"/>
        <w:rPr>
          <w:rFonts w:ascii="Times New Roman" w:hAnsi="Times New Roman"/>
          <w:bCs/>
          <w:sz w:val="24"/>
          <w:highlight w:val="none"/>
        </w:rPr>
      </w:pPr>
      <w:bookmarkStart w:id="160" w:name="_Toc20823308"/>
      <w:bookmarkStart w:id="161" w:name="_Toc16938552"/>
      <w:bookmarkStart w:id="162" w:name="_Toc513029236"/>
      <w:bookmarkStart w:id="163" w:name="_Toc120614220"/>
      <w:r>
        <w:rPr>
          <w:rFonts w:ascii="Times New Roman" w:hAnsi="Times New Roman"/>
          <w:bCs/>
          <w:sz w:val="24"/>
          <w:highlight w:val="none"/>
        </w:rPr>
        <w:t>2</w:t>
      </w:r>
      <w:r>
        <w:rPr>
          <w:rFonts w:hint="eastAsia" w:ascii="Times New Roman" w:hAnsi="Times New Roman"/>
          <w:bCs/>
          <w:sz w:val="24"/>
          <w:highlight w:val="none"/>
        </w:rPr>
        <w:t>8</w:t>
      </w:r>
      <w:r>
        <w:rPr>
          <w:rFonts w:ascii="Times New Roman" w:hAnsi="Times New Roman"/>
          <w:bCs/>
          <w:sz w:val="24"/>
          <w:highlight w:val="none"/>
        </w:rPr>
        <w:t xml:space="preserve">.1评委会将对通过资格性审查和符合性审查的投标文件进行评价和比较。 </w:t>
      </w:r>
    </w:p>
    <w:p w14:paraId="111CC1CC">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8</w:t>
      </w:r>
      <w:r>
        <w:rPr>
          <w:rFonts w:ascii="Times New Roman" w:hAnsi="Times New Roman"/>
          <w:bCs/>
          <w:sz w:val="24"/>
          <w:highlight w:val="none"/>
        </w:rPr>
        <w:t>.2评委会将根据本招标文件规定评分办法与评分标准确定中标人，任何单项因素的最优不能作为中标的保证。</w:t>
      </w:r>
    </w:p>
    <w:p w14:paraId="0598438E">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8</w:t>
      </w:r>
      <w:r>
        <w:rPr>
          <w:rFonts w:ascii="Times New Roman" w:hAnsi="Times New Roman"/>
          <w:bCs/>
          <w:sz w:val="24"/>
          <w:highlight w:val="none"/>
        </w:rPr>
        <w:t>.3 装备中心将在“江苏政府采购网”发布中标公告，公告期限为1个工作日。</w:t>
      </w:r>
    </w:p>
    <w:p w14:paraId="7C19C976">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8</w:t>
      </w:r>
      <w:r>
        <w:rPr>
          <w:rFonts w:ascii="Times New Roman" w:hAnsi="Times New Roman"/>
          <w:bCs/>
          <w:sz w:val="24"/>
          <w:highlight w:val="none"/>
        </w:rPr>
        <w:t>.4若有充分证据证明，中标人出现下列情况之一的，一经查实，将被取消中标资格：</w:t>
      </w:r>
    </w:p>
    <w:p w14:paraId="796D0EF2">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8</w:t>
      </w:r>
      <w:r>
        <w:rPr>
          <w:rFonts w:ascii="Times New Roman" w:hAnsi="Times New Roman"/>
          <w:bCs/>
          <w:sz w:val="24"/>
          <w:highlight w:val="none"/>
        </w:rPr>
        <w:t>.4.1提供虚假材料谋取中标的；</w:t>
      </w:r>
    </w:p>
    <w:p w14:paraId="219A3724">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8</w:t>
      </w:r>
      <w:r>
        <w:rPr>
          <w:rFonts w:ascii="Times New Roman" w:hAnsi="Times New Roman"/>
          <w:bCs/>
          <w:sz w:val="24"/>
          <w:highlight w:val="none"/>
        </w:rPr>
        <w:t>.4.2向采购人、装备中心行贿或者提供其他不正当利益的；</w:t>
      </w:r>
    </w:p>
    <w:p w14:paraId="0DA0BC29">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8</w:t>
      </w:r>
      <w:r>
        <w:rPr>
          <w:rFonts w:ascii="Times New Roman" w:hAnsi="Times New Roman"/>
          <w:bCs/>
          <w:sz w:val="24"/>
          <w:highlight w:val="none"/>
        </w:rPr>
        <w:t>.4.3恶意竞争，投标总报价明显低于其自身合理成本且又无法提供证明的；</w:t>
      </w:r>
    </w:p>
    <w:p w14:paraId="060FF035">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8</w:t>
      </w:r>
      <w:r>
        <w:rPr>
          <w:rFonts w:ascii="Times New Roman" w:hAnsi="Times New Roman"/>
          <w:bCs/>
          <w:sz w:val="24"/>
          <w:highlight w:val="none"/>
        </w:rPr>
        <w:t>.4.4属于本文件规定的无效条件，但在评标过程中又未被评委会发现的；</w:t>
      </w:r>
    </w:p>
    <w:p w14:paraId="4615B614">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8</w:t>
      </w:r>
      <w:r>
        <w:rPr>
          <w:rFonts w:ascii="Times New Roman" w:hAnsi="Times New Roman"/>
          <w:bCs/>
          <w:sz w:val="24"/>
          <w:highlight w:val="none"/>
        </w:rPr>
        <w:t>.4.5与采购人或者其他供应商恶意串通的；</w:t>
      </w:r>
    </w:p>
    <w:p w14:paraId="480BC96A">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8</w:t>
      </w:r>
      <w:r>
        <w:rPr>
          <w:rFonts w:ascii="Times New Roman" w:hAnsi="Times New Roman"/>
          <w:bCs/>
          <w:sz w:val="24"/>
          <w:highlight w:val="none"/>
        </w:rPr>
        <w:t>.4.6采取不正当手段诋毁、排挤其他供应商的；</w:t>
      </w:r>
    </w:p>
    <w:p w14:paraId="50E86A37">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8</w:t>
      </w:r>
      <w:r>
        <w:rPr>
          <w:rFonts w:ascii="Times New Roman" w:hAnsi="Times New Roman"/>
          <w:bCs/>
          <w:sz w:val="24"/>
          <w:highlight w:val="none"/>
        </w:rPr>
        <w:t>.4.7不符合法律、法规的规定的。</w:t>
      </w:r>
    </w:p>
    <w:p w14:paraId="565C0397">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8</w:t>
      </w:r>
      <w:r>
        <w:rPr>
          <w:rFonts w:ascii="Times New Roman" w:hAnsi="Times New Roman"/>
          <w:bCs/>
          <w:sz w:val="24"/>
          <w:highlight w:val="none"/>
        </w:rPr>
        <w:t>.5有下列情形之一的，视为供应商串通投标，投标无效：</w:t>
      </w:r>
    </w:p>
    <w:p w14:paraId="00205CF6">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8</w:t>
      </w:r>
      <w:r>
        <w:rPr>
          <w:rFonts w:ascii="Times New Roman" w:hAnsi="Times New Roman"/>
          <w:bCs/>
          <w:sz w:val="24"/>
          <w:highlight w:val="none"/>
        </w:rPr>
        <w:t>.5.1不同供应商的投标文件由同一单位或者个人编制。</w:t>
      </w:r>
    </w:p>
    <w:p w14:paraId="2A7A8E12">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8</w:t>
      </w:r>
      <w:r>
        <w:rPr>
          <w:rFonts w:ascii="Times New Roman" w:hAnsi="Times New Roman"/>
          <w:bCs/>
          <w:sz w:val="24"/>
          <w:highlight w:val="none"/>
        </w:rPr>
        <w:t>.5.2不同供应商委托同一单位或者个人办理投标事宜。</w:t>
      </w:r>
    </w:p>
    <w:p w14:paraId="3AA20809">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8</w:t>
      </w:r>
      <w:r>
        <w:rPr>
          <w:rFonts w:ascii="Times New Roman" w:hAnsi="Times New Roman"/>
          <w:bCs/>
          <w:sz w:val="24"/>
          <w:highlight w:val="none"/>
        </w:rPr>
        <w:t>.5.3不同供应商的投标文件载明的项目管理成员或者联系人员为同一人。</w:t>
      </w:r>
    </w:p>
    <w:p w14:paraId="33AC5970">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8</w:t>
      </w:r>
      <w:r>
        <w:rPr>
          <w:rFonts w:ascii="Times New Roman" w:hAnsi="Times New Roman"/>
          <w:bCs/>
          <w:sz w:val="24"/>
          <w:highlight w:val="none"/>
        </w:rPr>
        <w:t>.5.4不同供应商的投标文件异常一致或者投标报价呈规律性差异。</w:t>
      </w:r>
    </w:p>
    <w:p w14:paraId="098B70DB">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2</w:t>
      </w:r>
      <w:r>
        <w:rPr>
          <w:rFonts w:hint="eastAsia" w:ascii="Times New Roman" w:hAnsi="Times New Roman"/>
          <w:bCs/>
          <w:sz w:val="24"/>
          <w:highlight w:val="none"/>
        </w:rPr>
        <w:t>8</w:t>
      </w:r>
      <w:r>
        <w:rPr>
          <w:rFonts w:ascii="Times New Roman" w:hAnsi="Times New Roman"/>
          <w:bCs/>
          <w:sz w:val="24"/>
          <w:highlight w:val="none"/>
        </w:rPr>
        <w:t>.5.5不同供应商的投标文件相互混装。</w:t>
      </w:r>
    </w:p>
    <w:p w14:paraId="6258CDCD">
      <w:pPr>
        <w:keepNext/>
        <w:keepLines/>
        <w:spacing w:line="538" w:lineRule="exact"/>
        <w:ind w:right="-44" w:firstLine="490" w:firstLineChars="175"/>
        <w:outlineLvl w:val="3"/>
        <w:rPr>
          <w:rFonts w:ascii="Times New Roman" w:hAnsi="Times New Roman" w:eastAsia="黑体"/>
          <w:sz w:val="28"/>
          <w:szCs w:val="28"/>
          <w:highlight w:val="none"/>
        </w:rPr>
      </w:pPr>
      <w:r>
        <w:rPr>
          <w:rFonts w:hint="eastAsia" w:ascii="Times New Roman" w:hAnsi="Times New Roman" w:eastAsia="黑体"/>
          <w:sz w:val="28"/>
          <w:szCs w:val="28"/>
          <w:highlight w:val="none"/>
        </w:rPr>
        <w:t>29</w:t>
      </w:r>
      <w:r>
        <w:rPr>
          <w:rFonts w:ascii="Times New Roman" w:hAnsi="Times New Roman" w:eastAsia="黑体"/>
          <w:sz w:val="28"/>
          <w:szCs w:val="28"/>
          <w:highlight w:val="none"/>
        </w:rPr>
        <w:t>．质疑处理</w:t>
      </w:r>
    </w:p>
    <w:p w14:paraId="1FB224B6">
      <w:pPr>
        <w:spacing w:line="538" w:lineRule="exact"/>
        <w:ind w:firstLine="489" w:firstLineChars="204"/>
        <w:rPr>
          <w:rFonts w:ascii="Times New Roman" w:hAnsi="Times New Roman"/>
          <w:bCs/>
          <w:sz w:val="24"/>
          <w:highlight w:val="none"/>
        </w:rPr>
      </w:pPr>
      <w:r>
        <w:rPr>
          <w:rFonts w:hint="eastAsia" w:ascii="Times New Roman" w:hAnsi="Times New Roman"/>
          <w:bCs/>
          <w:sz w:val="24"/>
          <w:highlight w:val="none"/>
        </w:rPr>
        <w:t>29</w:t>
      </w:r>
      <w:r>
        <w:rPr>
          <w:rFonts w:ascii="Times New Roman" w:hAnsi="Times New Roman"/>
          <w:bCs/>
          <w:sz w:val="24"/>
          <w:highlight w:val="none"/>
        </w:rPr>
        <w:t>.1提出质疑的供应商应当是参与所质疑项目采购活动的供应商。潜在供应商依法获取其可质疑的采购文件的，可以对采购文件提出质疑。</w:t>
      </w:r>
    </w:p>
    <w:p w14:paraId="569C2C47">
      <w:pPr>
        <w:spacing w:line="538" w:lineRule="exact"/>
        <w:ind w:firstLine="489" w:firstLineChars="204"/>
        <w:rPr>
          <w:rFonts w:ascii="Times New Roman" w:hAnsi="Times New Roman"/>
          <w:bCs/>
          <w:sz w:val="24"/>
          <w:highlight w:val="none"/>
        </w:rPr>
      </w:pPr>
      <w:r>
        <w:rPr>
          <w:rFonts w:hint="eastAsia" w:ascii="Times New Roman" w:hAnsi="Times New Roman"/>
          <w:bCs/>
          <w:sz w:val="24"/>
          <w:highlight w:val="none"/>
        </w:rPr>
        <w:t>29</w:t>
      </w:r>
      <w:r>
        <w:rPr>
          <w:rFonts w:ascii="Times New Roman" w:hAnsi="Times New Roman"/>
          <w:bCs/>
          <w:sz w:val="24"/>
          <w:highlight w:val="none"/>
        </w:rPr>
        <w:t>.2供应商认为采购文件、采购过程和采购结果使自己的权益受到损害的，可以在知道或应知其权益受到损害之日起七个工作日内，以书面形式向装备中心或采购人提出质疑。上述应知其权益受到损害之日，是指：</w:t>
      </w:r>
    </w:p>
    <w:p w14:paraId="7B8BF15C">
      <w:pPr>
        <w:spacing w:line="538" w:lineRule="exact"/>
        <w:ind w:firstLine="489" w:firstLineChars="204"/>
        <w:rPr>
          <w:rFonts w:ascii="Times New Roman" w:hAnsi="Times New Roman"/>
          <w:bCs/>
          <w:sz w:val="24"/>
          <w:highlight w:val="none"/>
        </w:rPr>
      </w:pPr>
      <w:r>
        <w:rPr>
          <w:rFonts w:hint="eastAsia" w:ascii="Times New Roman" w:hAnsi="Times New Roman"/>
          <w:bCs/>
          <w:sz w:val="24"/>
          <w:highlight w:val="none"/>
        </w:rPr>
        <w:t>29</w:t>
      </w:r>
      <w:r>
        <w:rPr>
          <w:rFonts w:ascii="Times New Roman" w:hAnsi="Times New Roman"/>
          <w:bCs/>
          <w:sz w:val="24"/>
          <w:highlight w:val="none"/>
        </w:rPr>
        <w:t>.2.1对可以质疑的采购文件提出质疑的，为收到采购文件之日或者采购文件公告期限届满之日；</w:t>
      </w:r>
    </w:p>
    <w:p w14:paraId="2D3C6091">
      <w:pPr>
        <w:spacing w:line="538" w:lineRule="exact"/>
        <w:ind w:firstLine="489" w:firstLineChars="204"/>
        <w:rPr>
          <w:rFonts w:ascii="Times New Roman" w:hAnsi="Times New Roman"/>
          <w:bCs/>
          <w:sz w:val="24"/>
          <w:highlight w:val="none"/>
        </w:rPr>
      </w:pPr>
      <w:r>
        <w:rPr>
          <w:rFonts w:hint="eastAsia" w:ascii="Times New Roman" w:hAnsi="Times New Roman"/>
          <w:bCs/>
          <w:sz w:val="24"/>
          <w:highlight w:val="none"/>
        </w:rPr>
        <w:t>29</w:t>
      </w:r>
      <w:r>
        <w:rPr>
          <w:rFonts w:ascii="Times New Roman" w:hAnsi="Times New Roman"/>
          <w:bCs/>
          <w:sz w:val="24"/>
          <w:highlight w:val="none"/>
        </w:rPr>
        <w:t>.2.2对采购过程提出质疑的，为各采购程序环节结束之日；</w:t>
      </w:r>
    </w:p>
    <w:p w14:paraId="592ECAD2">
      <w:pPr>
        <w:spacing w:line="538" w:lineRule="exact"/>
        <w:ind w:firstLine="489" w:firstLineChars="204"/>
        <w:rPr>
          <w:rFonts w:ascii="Times New Roman" w:hAnsi="Times New Roman"/>
          <w:bCs/>
          <w:sz w:val="24"/>
          <w:highlight w:val="none"/>
        </w:rPr>
      </w:pPr>
      <w:r>
        <w:rPr>
          <w:rFonts w:hint="eastAsia" w:ascii="Times New Roman" w:hAnsi="Times New Roman"/>
          <w:bCs/>
          <w:sz w:val="24"/>
          <w:highlight w:val="none"/>
        </w:rPr>
        <w:t>29</w:t>
      </w:r>
      <w:r>
        <w:rPr>
          <w:rFonts w:ascii="Times New Roman" w:hAnsi="Times New Roman"/>
          <w:bCs/>
          <w:sz w:val="24"/>
          <w:highlight w:val="none"/>
        </w:rPr>
        <w:t>.2.3对中标或者成交结果提出质疑的，为中标或者成交结果公告期限届满之日。</w:t>
      </w:r>
    </w:p>
    <w:p w14:paraId="3A16B1A3">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供应商应当在法定质疑期内一次性提出针对同一采购程序环节的质疑。供应商如在法定期限内对同一采购程序环节提出多次质疑的，装备中心将只对供应商第一次质疑</w:t>
      </w:r>
      <w:r>
        <w:rPr>
          <w:rFonts w:hint="eastAsia" w:ascii="Times New Roman" w:hAnsi="Times New Roman"/>
          <w:bCs/>
          <w:sz w:val="24"/>
          <w:highlight w:val="none"/>
        </w:rPr>
        <w:t>做</w:t>
      </w:r>
      <w:r>
        <w:rPr>
          <w:rFonts w:ascii="Times New Roman" w:hAnsi="Times New Roman"/>
          <w:bCs/>
          <w:sz w:val="24"/>
          <w:highlight w:val="none"/>
        </w:rPr>
        <w:t>出答复。</w:t>
      </w:r>
    </w:p>
    <w:p w14:paraId="5B7C4EBA">
      <w:pPr>
        <w:spacing w:line="538" w:lineRule="exact"/>
        <w:ind w:firstLine="489" w:firstLineChars="204"/>
        <w:rPr>
          <w:rFonts w:ascii="Times New Roman" w:hAnsi="Times New Roman"/>
          <w:bCs/>
          <w:sz w:val="24"/>
          <w:highlight w:val="none"/>
        </w:rPr>
      </w:pPr>
      <w:r>
        <w:rPr>
          <w:rFonts w:hint="eastAsia" w:ascii="Times New Roman" w:hAnsi="Times New Roman"/>
          <w:bCs/>
          <w:sz w:val="24"/>
          <w:highlight w:val="none"/>
        </w:rPr>
        <w:t>29</w:t>
      </w:r>
      <w:r>
        <w:rPr>
          <w:rFonts w:ascii="Times New Roman" w:hAnsi="Times New Roman"/>
          <w:bCs/>
          <w:sz w:val="24"/>
          <w:highlight w:val="none"/>
        </w:rPr>
        <w:t>.3质疑函必须按照本招标文件中《质疑函范本》要求的格式和内容进行填写。供应商如组成联合体参加投标，则《质疑函范本》中要求签字、盖章、加盖公章之处，联合体各方均须按要求签字、盖章、加盖公章。</w:t>
      </w:r>
    </w:p>
    <w:p w14:paraId="523CA006">
      <w:pPr>
        <w:spacing w:line="538" w:lineRule="exact"/>
        <w:ind w:firstLine="489" w:firstLineChars="204"/>
        <w:rPr>
          <w:rFonts w:ascii="Times New Roman" w:hAnsi="Times New Roman"/>
          <w:sz w:val="24"/>
          <w:szCs w:val="24"/>
          <w:highlight w:val="none"/>
        </w:rPr>
      </w:pPr>
      <w:r>
        <w:rPr>
          <w:rFonts w:hint="eastAsia" w:ascii="Times New Roman" w:hAnsi="Times New Roman"/>
          <w:bCs/>
          <w:sz w:val="24"/>
          <w:highlight w:val="none"/>
        </w:rPr>
        <w:t>29</w:t>
      </w:r>
      <w:r>
        <w:rPr>
          <w:rFonts w:ascii="Times New Roman" w:hAnsi="Times New Roman"/>
          <w:bCs/>
          <w:sz w:val="24"/>
          <w:highlight w:val="none"/>
        </w:rPr>
        <w:t>.4装备</w:t>
      </w:r>
      <w:r>
        <w:rPr>
          <w:rFonts w:ascii="Times New Roman" w:hAnsi="Times New Roman"/>
          <w:sz w:val="24"/>
          <w:szCs w:val="24"/>
          <w:highlight w:val="none"/>
        </w:rPr>
        <w:t>中心只接收以纸质原件形式送达的质疑。联系地址：南京市广州路191号五环大厦1204室，联系电话：025-51889606。</w:t>
      </w:r>
    </w:p>
    <w:p w14:paraId="4FC63CD6">
      <w:pPr>
        <w:spacing w:line="538" w:lineRule="exact"/>
        <w:ind w:firstLine="489" w:firstLineChars="204"/>
        <w:rPr>
          <w:rFonts w:ascii="Times New Roman" w:hAnsi="Times New Roman"/>
          <w:bCs/>
          <w:sz w:val="24"/>
          <w:highlight w:val="none"/>
        </w:rPr>
      </w:pPr>
      <w:r>
        <w:rPr>
          <w:rFonts w:hint="eastAsia" w:ascii="Times New Roman" w:hAnsi="Times New Roman"/>
          <w:bCs/>
          <w:sz w:val="24"/>
          <w:highlight w:val="none"/>
        </w:rPr>
        <w:t>29</w:t>
      </w:r>
      <w:r>
        <w:rPr>
          <w:rFonts w:ascii="Times New Roman" w:hAnsi="Times New Roman"/>
          <w:bCs/>
          <w:sz w:val="24"/>
          <w:highlight w:val="none"/>
        </w:rPr>
        <w:t>.5质疑不予受理的情形：</w:t>
      </w:r>
    </w:p>
    <w:p w14:paraId="16650BB4">
      <w:pPr>
        <w:spacing w:line="538" w:lineRule="exact"/>
        <w:ind w:firstLine="489" w:firstLineChars="204"/>
        <w:rPr>
          <w:rFonts w:ascii="Times New Roman" w:hAnsi="Times New Roman"/>
          <w:sz w:val="24"/>
          <w:szCs w:val="24"/>
          <w:highlight w:val="none"/>
        </w:rPr>
      </w:pPr>
      <w:r>
        <w:rPr>
          <w:rFonts w:hint="eastAsia" w:ascii="Times New Roman" w:hAnsi="Times New Roman"/>
          <w:bCs/>
          <w:sz w:val="24"/>
          <w:highlight w:val="none"/>
        </w:rPr>
        <w:t>29</w:t>
      </w:r>
      <w:r>
        <w:rPr>
          <w:rFonts w:ascii="Times New Roman" w:hAnsi="Times New Roman"/>
          <w:bCs/>
          <w:sz w:val="24"/>
          <w:highlight w:val="none"/>
        </w:rPr>
        <w:t>.5.1</w:t>
      </w:r>
      <w:r>
        <w:rPr>
          <w:rFonts w:ascii="Times New Roman" w:hAnsi="Times New Roman"/>
          <w:sz w:val="24"/>
          <w:szCs w:val="24"/>
          <w:highlight w:val="none"/>
        </w:rPr>
        <w:t>内容不符合《政府采购质疑和投诉办法》第十二条规定的质疑；</w:t>
      </w:r>
    </w:p>
    <w:p w14:paraId="0227BA08">
      <w:pPr>
        <w:spacing w:line="538" w:lineRule="exact"/>
        <w:ind w:firstLine="489" w:firstLineChars="204"/>
        <w:rPr>
          <w:rFonts w:ascii="Times New Roman" w:hAnsi="Times New Roman"/>
          <w:sz w:val="24"/>
          <w:szCs w:val="24"/>
          <w:highlight w:val="none"/>
        </w:rPr>
      </w:pPr>
      <w:r>
        <w:rPr>
          <w:rFonts w:hint="eastAsia" w:ascii="Times New Roman" w:hAnsi="Times New Roman"/>
          <w:bCs/>
          <w:sz w:val="24"/>
          <w:highlight w:val="none"/>
        </w:rPr>
        <w:t>29</w:t>
      </w:r>
      <w:r>
        <w:rPr>
          <w:rFonts w:ascii="Times New Roman" w:hAnsi="Times New Roman"/>
          <w:bCs/>
          <w:sz w:val="24"/>
          <w:highlight w:val="none"/>
        </w:rPr>
        <w:t>.5.2</w:t>
      </w:r>
      <w:r>
        <w:rPr>
          <w:rFonts w:ascii="Times New Roman" w:hAnsi="Times New Roman"/>
          <w:sz w:val="24"/>
          <w:szCs w:val="24"/>
          <w:highlight w:val="none"/>
        </w:rPr>
        <w:t>超出政府采购法定期限的质疑；</w:t>
      </w:r>
    </w:p>
    <w:p w14:paraId="309AC44C">
      <w:pPr>
        <w:spacing w:line="538" w:lineRule="exact"/>
        <w:ind w:firstLine="489" w:firstLineChars="204"/>
        <w:rPr>
          <w:rFonts w:ascii="Times New Roman" w:hAnsi="Times New Roman"/>
          <w:bCs/>
          <w:sz w:val="24"/>
          <w:highlight w:val="none"/>
        </w:rPr>
      </w:pPr>
      <w:r>
        <w:rPr>
          <w:rFonts w:hint="eastAsia" w:ascii="Times New Roman" w:hAnsi="Times New Roman"/>
          <w:bCs/>
          <w:sz w:val="24"/>
          <w:highlight w:val="none"/>
        </w:rPr>
        <w:t>29</w:t>
      </w:r>
      <w:r>
        <w:rPr>
          <w:rFonts w:ascii="Times New Roman" w:hAnsi="Times New Roman"/>
          <w:bCs/>
          <w:sz w:val="24"/>
          <w:highlight w:val="none"/>
        </w:rPr>
        <w:t>.5.3以传真、电子邮件等方式递交的非原件形式的质疑；</w:t>
      </w:r>
    </w:p>
    <w:p w14:paraId="3FD41B02">
      <w:pPr>
        <w:spacing w:line="538" w:lineRule="exact"/>
        <w:ind w:firstLine="489" w:firstLineChars="204"/>
        <w:rPr>
          <w:rFonts w:ascii="Times New Roman" w:hAnsi="Times New Roman"/>
          <w:bCs/>
          <w:sz w:val="24"/>
          <w:highlight w:val="none"/>
        </w:rPr>
      </w:pPr>
      <w:r>
        <w:rPr>
          <w:rFonts w:hint="eastAsia" w:ascii="Times New Roman" w:hAnsi="Times New Roman"/>
          <w:bCs/>
          <w:sz w:val="24"/>
          <w:highlight w:val="none"/>
        </w:rPr>
        <w:t>29</w:t>
      </w:r>
      <w:r>
        <w:rPr>
          <w:rFonts w:ascii="Times New Roman" w:hAnsi="Times New Roman"/>
          <w:bCs/>
          <w:sz w:val="24"/>
          <w:highlight w:val="none"/>
        </w:rPr>
        <w:t>.5.4未参加投标活动的供应商或在投标活动中自身权益未受到损害的供应商所提出的质疑。</w:t>
      </w:r>
    </w:p>
    <w:p w14:paraId="2990650D">
      <w:pPr>
        <w:spacing w:line="538" w:lineRule="exact"/>
        <w:ind w:firstLine="489" w:firstLineChars="204"/>
        <w:rPr>
          <w:rFonts w:ascii="Times New Roman" w:hAnsi="Times New Roman"/>
          <w:bCs/>
          <w:sz w:val="24"/>
          <w:highlight w:val="none"/>
        </w:rPr>
      </w:pPr>
      <w:r>
        <w:rPr>
          <w:rFonts w:hint="eastAsia" w:ascii="Times New Roman" w:hAnsi="Times New Roman"/>
          <w:bCs/>
          <w:sz w:val="24"/>
          <w:highlight w:val="none"/>
        </w:rPr>
        <w:t>29</w:t>
      </w:r>
      <w:r>
        <w:rPr>
          <w:rFonts w:ascii="Times New Roman" w:hAnsi="Times New Roman"/>
          <w:bCs/>
          <w:sz w:val="24"/>
          <w:highlight w:val="none"/>
        </w:rPr>
        <w:t>.5.5供应商组成联合体参加投标，联合体中任何一方或多方未按要求签字、盖章、加盖公章的质疑。</w:t>
      </w:r>
    </w:p>
    <w:p w14:paraId="69CAB4C5">
      <w:pPr>
        <w:spacing w:line="538" w:lineRule="exact"/>
        <w:ind w:firstLine="489" w:firstLineChars="204"/>
        <w:rPr>
          <w:rFonts w:ascii="Times New Roman" w:hAnsi="Times New Roman"/>
          <w:bCs/>
          <w:sz w:val="24"/>
          <w:highlight w:val="none"/>
        </w:rPr>
      </w:pPr>
      <w:r>
        <w:rPr>
          <w:rFonts w:hint="eastAsia" w:ascii="Times New Roman" w:hAnsi="Times New Roman"/>
          <w:bCs/>
          <w:sz w:val="24"/>
          <w:highlight w:val="none"/>
        </w:rPr>
        <w:t>29</w:t>
      </w:r>
      <w:r>
        <w:rPr>
          <w:rFonts w:ascii="Times New Roman" w:hAnsi="Times New Roman"/>
          <w:bCs/>
          <w:sz w:val="24"/>
          <w:highlight w:val="none"/>
        </w:rPr>
        <w:t>.6供应商提出书面质疑必须有理、有据，不得恶意质疑或提交虚假质疑。否则，一经查实，装备中心有权依据政府采购的有关规定，报请政府采购监管部门对该供应商进行相应的行政处罚</w:t>
      </w:r>
      <w:r>
        <w:rPr>
          <w:rFonts w:ascii="Times New Roman" w:hAnsi="Times New Roman"/>
          <w:sz w:val="24"/>
          <w:szCs w:val="24"/>
          <w:highlight w:val="none"/>
        </w:rPr>
        <w:t>和记录该供应商的失信信息</w:t>
      </w:r>
      <w:r>
        <w:rPr>
          <w:rFonts w:ascii="Times New Roman" w:hAnsi="Times New Roman"/>
          <w:bCs/>
          <w:sz w:val="24"/>
          <w:highlight w:val="none"/>
        </w:rPr>
        <w:t>。</w:t>
      </w:r>
    </w:p>
    <w:p w14:paraId="50EF5DFB">
      <w:pPr>
        <w:keepNext/>
        <w:keepLines/>
        <w:spacing w:line="538" w:lineRule="exact"/>
        <w:ind w:right="-44" w:firstLine="490" w:firstLineChars="175"/>
        <w:outlineLvl w:val="3"/>
        <w:rPr>
          <w:rFonts w:ascii="Times New Roman" w:hAnsi="Times New Roman" w:eastAsia="黑体"/>
          <w:sz w:val="28"/>
          <w:szCs w:val="28"/>
          <w:highlight w:val="none"/>
        </w:rPr>
      </w:pPr>
      <w:r>
        <w:rPr>
          <w:rFonts w:ascii="Times New Roman" w:hAnsi="Times New Roman" w:eastAsia="黑体"/>
          <w:sz w:val="28"/>
          <w:szCs w:val="28"/>
          <w:highlight w:val="none"/>
        </w:rPr>
        <w:t>3</w:t>
      </w:r>
      <w:r>
        <w:rPr>
          <w:rFonts w:hint="eastAsia" w:ascii="Times New Roman" w:hAnsi="Times New Roman" w:eastAsia="黑体"/>
          <w:sz w:val="28"/>
          <w:szCs w:val="28"/>
          <w:highlight w:val="none"/>
        </w:rPr>
        <w:t>0</w:t>
      </w:r>
      <w:r>
        <w:rPr>
          <w:rFonts w:ascii="Times New Roman" w:hAnsi="Times New Roman" w:eastAsia="黑体"/>
          <w:sz w:val="28"/>
          <w:szCs w:val="28"/>
          <w:highlight w:val="none"/>
        </w:rPr>
        <w:t>．中标通知书</w:t>
      </w:r>
    </w:p>
    <w:p w14:paraId="1616C4E3">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3</w:t>
      </w:r>
      <w:r>
        <w:rPr>
          <w:rFonts w:hint="eastAsia" w:ascii="Times New Roman" w:hAnsi="Times New Roman"/>
          <w:bCs/>
          <w:sz w:val="24"/>
          <w:highlight w:val="none"/>
        </w:rPr>
        <w:t>0</w:t>
      </w:r>
      <w:r>
        <w:rPr>
          <w:rFonts w:ascii="Times New Roman" w:hAnsi="Times New Roman"/>
          <w:bCs/>
          <w:sz w:val="24"/>
          <w:highlight w:val="none"/>
        </w:rPr>
        <w:t>.1中标结果确定后，装备中心将向中标供应商发出中标通知书。</w:t>
      </w:r>
    </w:p>
    <w:p w14:paraId="12CEE2D4">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3</w:t>
      </w:r>
      <w:r>
        <w:rPr>
          <w:rFonts w:hint="eastAsia" w:ascii="Times New Roman" w:hAnsi="Times New Roman"/>
          <w:bCs/>
          <w:sz w:val="24"/>
          <w:highlight w:val="none"/>
        </w:rPr>
        <w:t>0</w:t>
      </w:r>
      <w:r>
        <w:rPr>
          <w:rFonts w:ascii="Times New Roman" w:hAnsi="Times New Roman"/>
          <w:bCs/>
          <w:sz w:val="24"/>
          <w:highlight w:val="none"/>
        </w:rPr>
        <w:t>.2中标供应商收到通知书当日应以书面形式确认；若无书面回复，则公告后视同中标供应商已经知悉并同意接受。中标通知书对采购人和中标供应商具有同等法律效力。中标通知书发出后，采购人改变中标结果或者中标供应商放弃中标，应当承担相应的法律责任。</w:t>
      </w:r>
    </w:p>
    <w:p w14:paraId="35D09F8A">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3</w:t>
      </w:r>
      <w:r>
        <w:rPr>
          <w:rFonts w:hint="eastAsia" w:ascii="Times New Roman" w:hAnsi="Times New Roman"/>
          <w:bCs/>
          <w:sz w:val="24"/>
          <w:highlight w:val="none"/>
        </w:rPr>
        <w:t>0</w:t>
      </w:r>
      <w:r>
        <w:rPr>
          <w:rFonts w:ascii="Times New Roman" w:hAnsi="Times New Roman"/>
          <w:bCs/>
          <w:sz w:val="24"/>
          <w:highlight w:val="none"/>
        </w:rPr>
        <w:t>.3所有供应商应按前款规定时间在江苏政府采购网查看中标公告，装备中心不再另行通知。装备中心对未中标的供应商不作未中标原因的解释。</w:t>
      </w:r>
    </w:p>
    <w:p w14:paraId="0C79AF33">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3</w:t>
      </w:r>
      <w:r>
        <w:rPr>
          <w:rFonts w:hint="eastAsia" w:ascii="Times New Roman" w:hAnsi="Times New Roman"/>
          <w:bCs/>
          <w:sz w:val="24"/>
          <w:highlight w:val="none"/>
        </w:rPr>
        <w:t>0</w:t>
      </w:r>
      <w:r>
        <w:rPr>
          <w:rFonts w:ascii="Times New Roman" w:hAnsi="Times New Roman"/>
          <w:bCs/>
          <w:sz w:val="24"/>
          <w:highlight w:val="none"/>
        </w:rPr>
        <w:t>.4 中标通知书是最后签</w:t>
      </w:r>
      <w:r>
        <w:rPr>
          <w:rFonts w:hint="eastAsia" w:ascii="Times New Roman" w:hAnsi="Times New Roman"/>
          <w:bCs/>
          <w:sz w:val="24"/>
          <w:highlight w:val="none"/>
        </w:rPr>
        <w:t>订</w:t>
      </w:r>
      <w:r>
        <w:rPr>
          <w:rFonts w:ascii="Times New Roman" w:hAnsi="Times New Roman"/>
          <w:bCs/>
          <w:sz w:val="24"/>
          <w:highlight w:val="none"/>
        </w:rPr>
        <w:t>的采购合同的组成部分。对采购人和中标供应商均具有法律效力。中标通知书发出后，采购人改变中标结果的，或者中标供应商放弃中标项目的，应当依法承担法律责任。</w:t>
      </w:r>
    </w:p>
    <w:p w14:paraId="57952917">
      <w:pPr>
        <w:keepNext/>
        <w:keepLines/>
        <w:spacing w:line="520" w:lineRule="exact"/>
        <w:ind w:firstLine="482" w:firstLineChars="150"/>
        <w:outlineLvl w:val="2"/>
        <w:rPr>
          <w:rFonts w:ascii="Times New Roman" w:hAnsi="Times New Roman"/>
          <w:b/>
          <w:bCs/>
          <w:sz w:val="32"/>
          <w:szCs w:val="32"/>
          <w:highlight w:val="none"/>
        </w:rPr>
      </w:pPr>
      <w:r>
        <w:rPr>
          <w:rFonts w:ascii="Times New Roman" w:hAnsi="Times New Roman"/>
          <w:b/>
          <w:bCs/>
          <w:sz w:val="32"/>
          <w:szCs w:val="32"/>
          <w:highlight w:val="none"/>
        </w:rPr>
        <w:t>七、授予合同</w:t>
      </w:r>
    </w:p>
    <w:p w14:paraId="18A0AADC">
      <w:pPr>
        <w:keepNext/>
        <w:keepLines/>
        <w:spacing w:line="538" w:lineRule="exact"/>
        <w:ind w:right="-44" w:firstLine="490" w:firstLineChars="175"/>
        <w:outlineLvl w:val="3"/>
        <w:rPr>
          <w:rFonts w:ascii="Times New Roman" w:hAnsi="Times New Roman" w:eastAsia="黑体"/>
          <w:sz w:val="28"/>
          <w:szCs w:val="28"/>
          <w:highlight w:val="none"/>
        </w:rPr>
      </w:pPr>
      <w:r>
        <w:rPr>
          <w:rFonts w:ascii="Times New Roman" w:hAnsi="Times New Roman" w:eastAsia="黑体"/>
          <w:sz w:val="28"/>
          <w:szCs w:val="28"/>
          <w:highlight w:val="none"/>
        </w:rPr>
        <w:t>3</w:t>
      </w:r>
      <w:r>
        <w:rPr>
          <w:rFonts w:hint="eastAsia" w:ascii="Times New Roman" w:hAnsi="Times New Roman" w:eastAsia="黑体"/>
          <w:sz w:val="28"/>
          <w:szCs w:val="28"/>
          <w:highlight w:val="none"/>
        </w:rPr>
        <w:t>1</w:t>
      </w:r>
      <w:r>
        <w:rPr>
          <w:rFonts w:ascii="Times New Roman" w:hAnsi="Times New Roman" w:eastAsia="黑体"/>
          <w:sz w:val="28"/>
          <w:szCs w:val="28"/>
          <w:highlight w:val="none"/>
        </w:rPr>
        <w:t>．签订合同</w:t>
      </w:r>
    </w:p>
    <w:p w14:paraId="1CC0A7F1">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3</w:t>
      </w:r>
      <w:r>
        <w:rPr>
          <w:rFonts w:hint="eastAsia" w:ascii="Times New Roman" w:hAnsi="Times New Roman"/>
          <w:bCs/>
          <w:sz w:val="24"/>
          <w:highlight w:val="none"/>
        </w:rPr>
        <w:t>1</w:t>
      </w:r>
      <w:r>
        <w:rPr>
          <w:rFonts w:ascii="Times New Roman" w:hAnsi="Times New Roman"/>
          <w:bCs/>
          <w:sz w:val="24"/>
          <w:highlight w:val="none"/>
        </w:rPr>
        <w:t>.1采购人将在中标通知书发出之日起30</w:t>
      </w:r>
      <w:r>
        <w:rPr>
          <w:rFonts w:hint="eastAsia" w:ascii="Times New Roman" w:hAnsi="Times New Roman"/>
          <w:bCs/>
          <w:sz w:val="24"/>
          <w:highlight w:val="none"/>
        </w:rPr>
        <w:t>日</w:t>
      </w:r>
      <w:r>
        <w:rPr>
          <w:rFonts w:ascii="Times New Roman" w:hAnsi="Times New Roman"/>
          <w:bCs/>
          <w:sz w:val="24"/>
          <w:highlight w:val="none"/>
        </w:rPr>
        <w:t>内与中标供应商签订采购合同。</w:t>
      </w:r>
    </w:p>
    <w:p w14:paraId="67839450">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3</w:t>
      </w:r>
      <w:r>
        <w:rPr>
          <w:rFonts w:hint="eastAsia" w:ascii="Times New Roman" w:hAnsi="Times New Roman"/>
          <w:bCs/>
          <w:sz w:val="24"/>
          <w:highlight w:val="none"/>
        </w:rPr>
        <w:t>1</w:t>
      </w:r>
      <w:r>
        <w:rPr>
          <w:rFonts w:ascii="Times New Roman" w:hAnsi="Times New Roman"/>
          <w:bCs/>
          <w:sz w:val="24"/>
          <w:highlight w:val="none"/>
        </w:rPr>
        <w:t>.2 中标供应商应按照招标文件、投标文件及评标过程中的有关澄清、说明或者补正文件的内容与采购人签订合同。中标供应商不得再与采购人签订背离合同实质性内容的其它协议或声明。</w:t>
      </w:r>
    </w:p>
    <w:p w14:paraId="4FDD54B1">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3</w:t>
      </w:r>
      <w:r>
        <w:rPr>
          <w:rFonts w:hint="eastAsia" w:ascii="Times New Roman" w:hAnsi="Times New Roman"/>
          <w:bCs/>
          <w:sz w:val="24"/>
          <w:highlight w:val="none"/>
        </w:rPr>
        <w:t>1</w:t>
      </w:r>
      <w:r>
        <w:rPr>
          <w:rFonts w:ascii="Times New Roman" w:hAnsi="Times New Roman"/>
          <w:bCs/>
          <w:sz w:val="24"/>
          <w:highlight w:val="none"/>
        </w:rPr>
        <w:t>.3如果中标供应商未能在规定时间内与采购人签</w:t>
      </w:r>
      <w:r>
        <w:rPr>
          <w:rFonts w:hint="eastAsia" w:ascii="Times New Roman" w:hAnsi="Times New Roman"/>
          <w:bCs/>
          <w:sz w:val="24"/>
          <w:highlight w:val="none"/>
        </w:rPr>
        <w:t>订</w:t>
      </w:r>
      <w:r>
        <w:rPr>
          <w:rFonts w:ascii="Times New Roman" w:hAnsi="Times New Roman"/>
          <w:bCs/>
          <w:sz w:val="24"/>
          <w:highlight w:val="none"/>
        </w:rPr>
        <w:t>采购合同，装备中心则可宣布其中标无效。在此情况下，采购人可按《政府采购法实施条例》相关规定执行。</w:t>
      </w:r>
    </w:p>
    <w:p w14:paraId="593989B9">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3</w:t>
      </w:r>
      <w:r>
        <w:rPr>
          <w:rFonts w:hint="eastAsia" w:ascii="Times New Roman" w:hAnsi="Times New Roman"/>
          <w:bCs/>
          <w:sz w:val="24"/>
          <w:highlight w:val="none"/>
        </w:rPr>
        <w:t>1</w:t>
      </w:r>
      <w:r>
        <w:rPr>
          <w:rFonts w:ascii="Times New Roman" w:hAnsi="Times New Roman"/>
          <w:bCs/>
          <w:sz w:val="24"/>
          <w:highlight w:val="none"/>
        </w:rPr>
        <w:t>.4 签订合同后，中标供应商不得将货物及其他相关服务进行转包。未经采购人同意，中标供应商也不得采用分包的形式履行合同，否则采购人有权终止合同。转包或分包造成采购人损失的，中标供应商应承担相应赔偿责任。</w:t>
      </w:r>
    </w:p>
    <w:p w14:paraId="665C6E3C">
      <w:pPr>
        <w:keepNext/>
        <w:keepLines/>
        <w:spacing w:line="538" w:lineRule="exact"/>
        <w:ind w:right="-44" w:firstLine="490" w:firstLineChars="175"/>
        <w:outlineLvl w:val="3"/>
        <w:rPr>
          <w:rFonts w:ascii="Times New Roman" w:hAnsi="Times New Roman" w:eastAsia="黑体"/>
          <w:sz w:val="28"/>
          <w:szCs w:val="28"/>
          <w:highlight w:val="none"/>
        </w:rPr>
      </w:pPr>
      <w:r>
        <w:rPr>
          <w:rFonts w:ascii="Times New Roman" w:hAnsi="Times New Roman" w:eastAsia="黑体"/>
          <w:sz w:val="28"/>
          <w:szCs w:val="28"/>
          <w:highlight w:val="none"/>
        </w:rPr>
        <w:t>3</w:t>
      </w:r>
      <w:r>
        <w:rPr>
          <w:rFonts w:hint="eastAsia" w:ascii="Times New Roman" w:hAnsi="Times New Roman" w:eastAsia="黑体"/>
          <w:sz w:val="28"/>
          <w:szCs w:val="28"/>
          <w:highlight w:val="none"/>
        </w:rPr>
        <w:t>2</w:t>
      </w:r>
      <w:r>
        <w:rPr>
          <w:rFonts w:ascii="Times New Roman" w:hAnsi="Times New Roman" w:eastAsia="黑体"/>
          <w:sz w:val="28"/>
          <w:szCs w:val="28"/>
          <w:highlight w:val="none"/>
        </w:rPr>
        <w:t>．产品和服务的追加、减少和添购。</w:t>
      </w:r>
    </w:p>
    <w:p w14:paraId="4B3B2FFB">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3</w:t>
      </w:r>
      <w:r>
        <w:rPr>
          <w:rFonts w:hint="eastAsia" w:ascii="Times New Roman" w:hAnsi="Times New Roman"/>
          <w:bCs/>
          <w:sz w:val="24"/>
          <w:highlight w:val="none"/>
        </w:rPr>
        <w:t>2</w:t>
      </w:r>
      <w:r>
        <w:rPr>
          <w:rFonts w:ascii="Times New Roman" w:hAnsi="Times New Roman"/>
          <w:bCs/>
          <w:sz w:val="24"/>
          <w:highlight w:val="none"/>
        </w:rPr>
        <w:t>.1政府采购合同履行中，采购人需追加与合同标的相同的产品和服务的，在不改变价格水平、合同及其他条款的前提下，采购人可以与中标供应商协商签订补充合同，但所有补充合同的采购金额不超过原合同金额10%。</w:t>
      </w:r>
    </w:p>
    <w:p w14:paraId="01022F17">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3</w:t>
      </w:r>
      <w:r>
        <w:rPr>
          <w:rFonts w:hint="eastAsia" w:ascii="Times New Roman" w:hAnsi="Times New Roman"/>
          <w:bCs/>
          <w:sz w:val="24"/>
          <w:highlight w:val="none"/>
        </w:rPr>
        <w:t>2</w:t>
      </w:r>
      <w:r>
        <w:rPr>
          <w:rFonts w:ascii="Times New Roman" w:hAnsi="Times New Roman"/>
          <w:bCs/>
          <w:sz w:val="24"/>
          <w:highlight w:val="none"/>
        </w:rPr>
        <w:t>.2采购结束后，采购人若由于各种客观原因，必须对采购项目所牵涉的产品和服务进行适当的减少时，在双方协商一致的前提下，可以按照招标采购时的价格水平做相应的调减，并据此签订补充合同。</w:t>
      </w:r>
    </w:p>
    <w:p w14:paraId="7E3985C5">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3</w:t>
      </w:r>
      <w:r>
        <w:rPr>
          <w:rFonts w:hint="eastAsia" w:ascii="Times New Roman" w:hAnsi="Times New Roman"/>
          <w:bCs/>
          <w:sz w:val="24"/>
          <w:highlight w:val="none"/>
        </w:rPr>
        <w:t>2</w:t>
      </w:r>
      <w:r>
        <w:rPr>
          <w:rFonts w:ascii="Times New Roman" w:hAnsi="Times New Roman"/>
          <w:bCs/>
          <w:sz w:val="24"/>
          <w:highlight w:val="none"/>
        </w:rPr>
        <w:t>.3项目结束后，采购人若由于各种客观原因，必须对采购项目所牵涉的产品和服务进行适当的添购时，由于须保证原有采购项目一致性或者服务配套的要求，经相关部门批准，可以继续从中标供应商处按照单一来源采购的方式进行添购，且所牵涉的产品和服务的价格水平不得超过本次公开招标的水平且低于当时的社会平均价。产品和服务的添购，应在本次政府采购合同的基础上，另行签订货物和服务的添购合同。</w:t>
      </w:r>
    </w:p>
    <w:p w14:paraId="10A146E4">
      <w:pPr>
        <w:keepNext/>
        <w:keepLines/>
        <w:spacing w:line="538" w:lineRule="exact"/>
        <w:ind w:right="-44" w:firstLine="490" w:firstLineChars="175"/>
        <w:outlineLvl w:val="3"/>
        <w:rPr>
          <w:rFonts w:ascii="Times New Roman" w:hAnsi="Times New Roman" w:eastAsia="黑体"/>
          <w:b/>
          <w:sz w:val="24"/>
          <w:szCs w:val="28"/>
          <w:highlight w:val="none"/>
        </w:rPr>
      </w:pPr>
      <w:r>
        <w:rPr>
          <w:rFonts w:ascii="Times New Roman" w:hAnsi="Times New Roman" w:eastAsia="黑体"/>
          <w:sz w:val="28"/>
          <w:szCs w:val="28"/>
          <w:highlight w:val="none"/>
        </w:rPr>
        <w:t>3</w:t>
      </w:r>
      <w:r>
        <w:rPr>
          <w:rFonts w:hint="eastAsia" w:ascii="Times New Roman" w:hAnsi="Times New Roman" w:eastAsia="黑体"/>
          <w:sz w:val="28"/>
          <w:szCs w:val="28"/>
          <w:highlight w:val="none"/>
        </w:rPr>
        <w:t>3</w:t>
      </w:r>
      <w:r>
        <w:rPr>
          <w:rFonts w:ascii="Times New Roman" w:hAnsi="Times New Roman" w:eastAsia="黑体"/>
          <w:sz w:val="28"/>
          <w:szCs w:val="28"/>
          <w:highlight w:val="none"/>
        </w:rPr>
        <w:t>．履约保证金</w:t>
      </w:r>
    </w:p>
    <w:bookmarkEnd w:id="160"/>
    <w:bookmarkEnd w:id="161"/>
    <w:bookmarkEnd w:id="162"/>
    <w:bookmarkEnd w:id="163"/>
    <w:p w14:paraId="11A7FA95">
      <w:pPr>
        <w:spacing w:line="538" w:lineRule="exact"/>
        <w:ind w:firstLine="489" w:firstLineChars="204"/>
        <w:rPr>
          <w:rFonts w:ascii="Times New Roman" w:hAnsi="Times New Roman"/>
          <w:bCs/>
          <w:sz w:val="24"/>
          <w:highlight w:val="none"/>
        </w:rPr>
      </w:pPr>
      <w:bookmarkStart w:id="164" w:name="_Toc507425682"/>
      <w:r>
        <w:rPr>
          <w:rFonts w:ascii="Times New Roman" w:hAnsi="Times New Roman"/>
          <w:bCs/>
          <w:sz w:val="24"/>
          <w:highlight w:val="none"/>
        </w:rPr>
        <w:t>34.1</w:t>
      </w:r>
      <w:r>
        <w:rPr>
          <w:rFonts w:hint="eastAsia" w:ascii="Times New Roman" w:hAnsi="Times New Roman"/>
          <w:bCs/>
          <w:sz w:val="24"/>
          <w:highlight w:val="none"/>
        </w:rPr>
        <w:t>本项目不收取</w:t>
      </w:r>
      <w:r>
        <w:rPr>
          <w:rFonts w:ascii="Times New Roman" w:hAnsi="Times New Roman"/>
          <w:bCs/>
          <w:sz w:val="24"/>
          <w:highlight w:val="none"/>
        </w:rPr>
        <w:t>履约保证金。</w:t>
      </w:r>
    </w:p>
    <w:p w14:paraId="41AC902B">
      <w:pPr>
        <w:keepNext/>
        <w:keepLines/>
        <w:spacing w:line="520" w:lineRule="exact"/>
        <w:ind w:firstLine="482" w:firstLineChars="150"/>
        <w:outlineLvl w:val="2"/>
        <w:rPr>
          <w:rFonts w:ascii="Times New Roman" w:hAnsi="Times New Roman"/>
          <w:b/>
          <w:bCs/>
          <w:sz w:val="32"/>
          <w:szCs w:val="32"/>
          <w:highlight w:val="none"/>
        </w:rPr>
      </w:pPr>
      <w:r>
        <w:rPr>
          <w:rFonts w:ascii="Times New Roman" w:hAnsi="Times New Roman"/>
          <w:b/>
          <w:bCs/>
          <w:sz w:val="32"/>
          <w:szCs w:val="32"/>
          <w:highlight w:val="none"/>
        </w:rPr>
        <w:t>八、其他</w:t>
      </w:r>
      <w:bookmarkEnd w:id="164"/>
    </w:p>
    <w:p w14:paraId="659DCB1C">
      <w:pPr>
        <w:keepNext/>
        <w:keepLines/>
        <w:spacing w:line="538" w:lineRule="exact"/>
        <w:ind w:right="-44" w:firstLine="490" w:firstLineChars="175"/>
        <w:outlineLvl w:val="3"/>
        <w:rPr>
          <w:rFonts w:ascii="Times New Roman" w:hAnsi="Times New Roman" w:eastAsia="黑体"/>
          <w:sz w:val="28"/>
          <w:szCs w:val="28"/>
          <w:highlight w:val="none"/>
        </w:rPr>
      </w:pPr>
      <w:r>
        <w:rPr>
          <w:rFonts w:ascii="Times New Roman" w:hAnsi="Times New Roman" w:eastAsia="黑体"/>
          <w:sz w:val="28"/>
          <w:szCs w:val="28"/>
          <w:highlight w:val="none"/>
        </w:rPr>
        <w:t>3</w:t>
      </w:r>
      <w:r>
        <w:rPr>
          <w:rFonts w:hint="eastAsia" w:ascii="Times New Roman" w:hAnsi="Times New Roman" w:eastAsia="黑体"/>
          <w:sz w:val="28"/>
          <w:szCs w:val="28"/>
          <w:highlight w:val="none"/>
        </w:rPr>
        <w:t>4</w:t>
      </w:r>
      <w:r>
        <w:rPr>
          <w:rFonts w:ascii="Times New Roman" w:hAnsi="Times New Roman" w:eastAsia="黑体"/>
          <w:sz w:val="28"/>
          <w:szCs w:val="28"/>
          <w:highlight w:val="none"/>
        </w:rPr>
        <w:t>．样品</w:t>
      </w:r>
    </w:p>
    <w:p w14:paraId="7E9A99CD">
      <w:pPr>
        <w:spacing w:line="538" w:lineRule="exact"/>
        <w:ind w:firstLine="489" w:firstLineChars="204"/>
        <w:rPr>
          <w:rFonts w:ascii="Times New Roman" w:hAnsi="Times New Roman"/>
          <w:bCs/>
          <w:sz w:val="24"/>
          <w:highlight w:val="none"/>
        </w:rPr>
      </w:pPr>
      <w:r>
        <w:rPr>
          <w:rFonts w:ascii="Times New Roman" w:hAnsi="Times New Roman"/>
          <w:bCs/>
          <w:sz w:val="24"/>
          <w:highlight w:val="none"/>
        </w:rPr>
        <w:t>3</w:t>
      </w:r>
      <w:r>
        <w:rPr>
          <w:rFonts w:hint="eastAsia" w:ascii="Times New Roman" w:hAnsi="Times New Roman"/>
          <w:bCs/>
          <w:sz w:val="24"/>
          <w:highlight w:val="none"/>
        </w:rPr>
        <w:t>4</w:t>
      </w:r>
      <w:r>
        <w:rPr>
          <w:rFonts w:ascii="Times New Roman" w:hAnsi="Times New Roman"/>
          <w:bCs/>
          <w:sz w:val="24"/>
          <w:highlight w:val="none"/>
        </w:rPr>
        <w:t>.1</w:t>
      </w:r>
      <w:r>
        <w:rPr>
          <w:rFonts w:hint="eastAsia" w:ascii="Times New Roman" w:hAnsi="Times New Roman"/>
          <w:bCs/>
          <w:sz w:val="24"/>
          <w:highlight w:val="none"/>
        </w:rPr>
        <w:t>本</w:t>
      </w:r>
      <w:r>
        <w:rPr>
          <w:rFonts w:ascii="Times New Roman" w:hAnsi="Times New Roman"/>
          <w:bCs/>
          <w:sz w:val="24"/>
          <w:highlight w:val="none"/>
        </w:rPr>
        <w:t>项目</w:t>
      </w:r>
      <w:r>
        <w:rPr>
          <w:rFonts w:hint="eastAsia" w:ascii="Times New Roman" w:hAnsi="Times New Roman"/>
          <w:bCs/>
          <w:sz w:val="24"/>
          <w:highlight w:val="none"/>
        </w:rPr>
        <w:t>不</w:t>
      </w:r>
      <w:r>
        <w:rPr>
          <w:rFonts w:ascii="Times New Roman" w:hAnsi="Times New Roman"/>
          <w:bCs/>
          <w:sz w:val="24"/>
          <w:highlight w:val="none"/>
        </w:rPr>
        <w:t>要求提供样品。</w:t>
      </w:r>
    </w:p>
    <w:p w14:paraId="04836C21">
      <w:pPr>
        <w:keepNext/>
        <w:keepLines/>
        <w:spacing w:line="520" w:lineRule="exact"/>
        <w:ind w:firstLine="504" w:firstLineChars="180"/>
        <w:outlineLvl w:val="3"/>
        <w:rPr>
          <w:rFonts w:ascii="Times New Roman" w:hAnsi="Times New Roman" w:eastAsia="黑体"/>
          <w:sz w:val="28"/>
          <w:szCs w:val="28"/>
          <w:highlight w:val="none"/>
        </w:rPr>
      </w:pPr>
      <w:r>
        <w:rPr>
          <w:rFonts w:ascii="Times New Roman" w:hAnsi="Times New Roman" w:eastAsia="黑体"/>
          <w:sz w:val="28"/>
          <w:szCs w:val="28"/>
          <w:highlight w:val="none"/>
        </w:rPr>
        <w:t>3</w:t>
      </w:r>
      <w:r>
        <w:rPr>
          <w:rFonts w:hint="eastAsia" w:ascii="Times New Roman" w:hAnsi="Times New Roman" w:eastAsia="黑体"/>
          <w:sz w:val="28"/>
          <w:szCs w:val="28"/>
          <w:highlight w:val="none"/>
        </w:rPr>
        <w:t>5</w:t>
      </w:r>
      <w:r>
        <w:rPr>
          <w:rFonts w:ascii="Times New Roman" w:hAnsi="Times New Roman" w:eastAsia="黑体"/>
          <w:sz w:val="28"/>
          <w:szCs w:val="28"/>
          <w:highlight w:val="none"/>
        </w:rPr>
        <w:t>. 政策功能</w:t>
      </w:r>
    </w:p>
    <w:p w14:paraId="295C28DF">
      <w:pPr>
        <w:spacing w:line="538" w:lineRule="exact"/>
        <w:ind w:firstLine="489" w:firstLineChars="204"/>
        <w:rPr>
          <w:rFonts w:hint="eastAsia" w:ascii="Times New Roman" w:hAnsi="Times New Roman"/>
          <w:bCs/>
          <w:sz w:val="24"/>
          <w:highlight w:val="none"/>
        </w:rPr>
      </w:pPr>
      <w:r>
        <w:rPr>
          <w:rFonts w:hint="eastAsia" w:ascii="Times New Roman" w:hAnsi="Times New Roman"/>
          <w:bCs/>
          <w:sz w:val="24"/>
          <w:highlight w:val="none"/>
        </w:rPr>
        <w:t>35.1《政府采购促进中小企业发展管理办法》（财库[2020]46号）</w:t>
      </w:r>
    </w:p>
    <w:p w14:paraId="1BFD9A00">
      <w:pPr>
        <w:spacing w:line="538" w:lineRule="exact"/>
        <w:ind w:firstLine="489" w:firstLineChars="204"/>
        <w:rPr>
          <w:rFonts w:hint="eastAsia" w:ascii="Times New Roman" w:hAnsi="Times New Roman"/>
          <w:bCs/>
          <w:sz w:val="24"/>
          <w:highlight w:val="none"/>
        </w:rPr>
      </w:pPr>
      <w:r>
        <w:rPr>
          <w:rFonts w:hint="eastAsia" w:ascii="Times New Roman" w:hAnsi="Times New Roman"/>
          <w:bCs/>
          <w:sz w:val="24"/>
          <w:highlight w:val="none"/>
        </w:rPr>
        <w:t>35.2《关于政府采购支持监狱企业发展有关问题的通知》（财库[2014]68号）</w:t>
      </w:r>
    </w:p>
    <w:p w14:paraId="24AA78E8">
      <w:pPr>
        <w:spacing w:line="538" w:lineRule="exact"/>
        <w:ind w:firstLine="489" w:firstLineChars="204"/>
        <w:rPr>
          <w:rFonts w:hint="eastAsia" w:ascii="Times New Roman" w:hAnsi="Times New Roman"/>
          <w:bCs/>
          <w:sz w:val="24"/>
          <w:highlight w:val="none"/>
        </w:rPr>
      </w:pPr>
      <w:r>
        <w:rPr>
          <w:rFonts w:hint="eastAsia" w:ascii="Times New Roman" w:hAnsi="Times New Roman"/>
          <w:bCs/>
          <w:sz w:val="24"/>
          <w:highlight w:val="none"/>
        </w:rPr>
        <w:t>35.3《关于促进残疾人就业政府采购政策的通知》（财库[2017]141号）</w:t>
      </w:r>
    </w:p>
    <w:p w14:paraId="4074FA3C">
      <w:pPr>
        <w:spacing w:line="538" w:lineRule="exact"/>
        <w:ind w:firstLine="489" w:firstLineChars="204"/>
        <w:rPr>
          <w:rFonts w:hint="eastAsia" w:ascii="Times New Roman" w:hAnsi="Times New Roman"/>
          <w:bCs/>
          <w:sz w:val="24"/>
          <w:highlight w:val="none"/>
        </w:rPr>
      </w:pPr>
      <w:r>
        <w:rPr>
          <w:rFonts w:hint="eastAsia" w:ascii="Times New Roman" w:hAnsi="Times New Roman"/>
          <w:bCs/>
          <w:sz w:val="24"/>
          <w:highlight w:val="none"/>
        </w:rPr>
        <w:t>35.4《关于调整优化节能产品、环境标志产品政府采购执行机制的通知》（财库 [2019] 9号）</w:t>
      </w:r>
    </w:p>
    <w:p w14:paraId="5DEDCDB6">
      <w:pPr>
        <w:spacing w:line="538" w:lineRule="exact"/>
        <w:ind w:firstLine="489" w:firstLineChars="204"/>
        <w:rPr>
          <w:rFonts w:hint="eastAsia" w:ascii="Times New Roman" w:hAnsi="Times New Roman"/>
          <w:bCs/>
          <w:sz w:val="24"/>
          <w:highlight w:val="none"/>
        </w:rPr>
      </w:pPr>
      <w:r>
        <w:rPr>
          <w:rFonts w:hint="eastAsia" w:ascii="Times New Roman" w:hAnsi="Times New Roman"/>
          <w:bCs/>
          <w:sz w:val="24"/>
          <w:highlight w:val="none"/>
        </w:rPr>
        <w:t>35.5《关于印发环境标志产品政府采购品目清单的通知》（财库 [2019] 18号）</w:t>
      </w:r>
    </w:p>
    <w:p w14:paraId="42C0B385">
      <w:pPr>
        <w:spacing w:line="538" w:lineRule="exact"/>
        <w:ind w:firstLine="489" w:firstLineChars="204"/>
        <w:rPr>
          <w:rFonts w:hint="eastAsia" w:ascii="Times New Roman" w:hAnsi="Times New Roman"/>
          <w:bCs/>
          <w:sz w:val="24"/>
          <w:highlight w:val="none"/>
        </w:rPr>
      </w:pPr>
      <w:r>
        <w:rPr>
          <w:rFonts w:hint="eastAsia" w:ascii="Times New Roman" w:hAnsi="Times New Roman"/>
          <w:bCs/>
          <w:sz w:val="24"/>
          <w:highlight w:val="none"/>
        </w:rPr>
        <w:t>35.6《关于印发节能产品政府采购品目清单的通知》（财库 [2019] 19号）</w:t>
      </w:r>
    </w:p>
    <w:p w14:paraId="7F645688">
      <w:pPr>
        <w:spacing w:line="538" w:lineRule="exact"/>
        <w:ind w:firstLine="489" w:firstLineChars="204"/>
        <w:rPr>
          <w:rFonts w:hint="eastAsia" w:ascii="Times New Roman" w:hAnsi="Times New Roman"/>
          <w:bCs/>
          <w:sz w:val="24"/>
          <w:highlight w:val="none"/>
        </w:rPr>
      </w:pPr>
      <w:r>
        <w:rPr>
          <w:rFonts w:hint="eastAsia" w:ascii="Times New Roman" w:hAnsi="Times New Roman"/>
          <w:bCs/>
          <w:sz w:val="24"/>
          <w:highlight w:val="none"/>
        </w:rPr>
        <w:t>35.7《关于进一步加大政府采购支持中小企业力度的通知》（财库〔2022〕19号）</w:t>
      </w:r>
    </w:p>
    <w:p w14:paraId="769364AE">
      <w:pPr>
        <w:spacing w:line="538" w:lineRule="exact"/>
        <w:ind w:firstLine="489" w:firstLineChars="204"/>
        <w:rPr>
          <w:rFonts w:hint="eastAsia" w:ascii="Times New Roman" w:hAnsi="Times New Roman"/>
          <w:bCs/>
          <w:sz w:val="24"/>
          <w:highlight w:val="none"/>
        </w:rPr>
      </w:pPr>
      <w:r>
        <w:rPr>
          <w:rFonts w:hint="eastAsia" w:ascii="Times New Roman" w:hAnsi="Times New Roman"/>
          <w:bCs/>
          <w:sz w:val="24"/>
          <w:highlight w:val="none"/>
        </w:rPr>
        <w:t>35.8《关于做好政府采购支持企业发展有关事项的通知》（苏财购[2020]52号）</w:t>
      </w:r>
    </w:p>
    <w:p w14:paraId="0CDE0F73">
      <w:pPr>
        <w:pStyle w:val="6"/>
        <w:spacing w:before="0" w:after="0" w:line="538" w:lineRule="exact"/>
        <w:ind w:right="-44" w:firstLine="490" w:firstLineChars="175"/>
        <w:rPr>
          <w:rFonts w:ascii="Times New Roman" w:hAnsi="Times New Roman"/>
          <w:b w:val="0"/>
          <w:bCs w:val="0"/>
          <w:highlight w:val="none"/>
        </w:rPr>
      </w:pPr>
      <w:r>
        <w:rPr>
          <w:rFonts w:hint="eastAsia" w:ascii="Times New Roman" w:hAnsi="Times New Roman"/>
          <w:b w:val="0"/>
          <w:bCs w:val="0"/>
          <w:highlight w:val="none"/>
        </w:rPr>
        <w:t>36</w:t>
      </w:r>
      <w:r>
        <w:rPr>
          <w:rFonts w:ascii="Times New Roman" w:hAnsi="Times New Roman"/>
          <w:b w:val="0"/>
          <w:bCs w:val="0"/>
          <w:highlight w:val="none"/>
        </w:rPr>
        <w:t>．</w:t>
      </w:r>
      <w:r>
        <w:rPr>
          <w:rFonts w:hint="eastAsia" w:ascii="Times New Roman" w:hAnsi="Times New Roman"/>
          <w:b w:val="0"/>
          <w:bCs w:val="0"/>
          <w:highlight w:val="none"/>
        </w:rPr>
        <w:t>政府采购履约资金扶持政策</w:t>
      </w:r>
    </w:p>
    <w:p w14:paraId="3137377B">
      <w:pPr>
        <w:spacing w:line="538" w:lineRule="exact"/>
        <w:ind w:firstLine="489" w:firstLineChars="204"/>
        <w:rPr>
          <w:bCs/>
          <w:sz w:val="24"/>
          <w:highlight w:val="none"/>
        </w:rPr>
      </w:pPr>
      <w:r>
        <w:rPr>
          <w:rFonts w:hint="eastAsia"/>
          <w:bCs/>
          <w:sz w:val="24"/>
          <w:highlight w:val="none"/>
        </w:rPr>
        <w:t>36.1中标供应商可凭政府采购合同办理融资贷款，详情请见江苏政府采购网“政采贷”专栏。</w:t>
      </w:r>
    </w:p>
    <w:p w14:paraId="3C64DE9D">
      <w:pPr>
        <w:pStyle w:val="2"/>
        <w:numPr>
          <w:ilvl w:val="0"/>
          <w:numId w:val="4"/>
        </w:numPr>
        <w:rPr>
          <w:rFonts w:ascii="Times New Roman" w:eastAsia="黑体"/>
          <w:bCs/>
          <w:sz w:val="44"/>
          <w:highlight w:val="none"/>
        </w:rPr>
      </w:pPr>
      <w:r>
        <w:rPr>
          <w:rFonts w:ascii="Times New Roman" w:eastAsia="黑体"/>
          <w:bCs/>
          <w:sz w:val="44"/>
          <w:highlight w:val="none"/>
        </w:rPr>
        <w:br w:type="page"/>
      </w:r>
      <w:bookmarkEnd w:id="57"/>
      <w:bookmarkEnd w:id="58"/>
      <w:bookmarkEnd w:id="59"/>
      <w:bookmarkEnd w:id="60"/>
      <w:bookmarkEnd w:id="61"/>
      <w:r>
        <w:rPr>
          <w:rFonts w:ascii="Times New Roman" w:eastAsia="黑体"/>
          <w:bCs/>
          <w:sz w:val="44"/>
          <w:highlight w:val="none"/>
        </w:rPr>
        <w:t xml:space="preserve"> </w:t>
      </w:r>
      <w:bookmarkStart w:id="165" w:name="_Toc145408598"/>
      <w:bookmarkStart w:id="166" w:name="_Toc481072014"/>
      <w:bookmarkStart w:id="167" w:name="_Toc475009298"/>
      <w:bookmarkStart w:id="168" w:name="_Toc481071968"/>
      <w:bookmarkStart w:id="169" w:name="_Toc511899514"/>
      <w:r>
        <w:rPr>
          <w:rFonts w:ascii="Times New Roman" w:eastAsia="黑体"/>
          <w:bCs/>
          <w:sz w:val="44"/>
          <w:highlight w:val="none"/>
        </w:rPr>
        <w:t>合同条款及格式</w:t>
      </w:r>
      <w:bookmarkEnd w:id="165"/>
      <w:bookmarkEnd w:id="166"/>
      <w:bookmarkEnd w:id="167"/>
      <w:bookmarkEnd w:id="168"/>
      <w:bookmarkEnd w:id="169"/>
    </w:p>
    <w:p w14:paraId="1B59C0B7">
      <w:pPr>
        <w:spacing w:line="520" w:lineRule="exact"/>
        <w:ind w:firstLine="480" w:firstLineChars="200"/>
        <w:rPr>
          <w:rFonts w:ascii="Times New Roman" w:hAnsi="Times New Roman"/>
          <w:color w:val="000000"/>
          <w:sz w:val="24"/>
          <w:highlight w:val="none"/>
        </w:rPr>
      </w:pPr>
      <w:bookmarkStart w:id="170" w:name="_Toc20823315"/>
      <w:bookmarkStart w:id="171" w:name="_Toc16938559"/>
      <w:bookmarkStart w:id="172" w:name="_Toc513029243"/>
      <w:r>
        <w:rPr>
          <w:rFonts w:ascii="Times New Roman" w:hAnsi="Times New Roman"/>
          <w:color w:val="000000"/>
          <w:sz w:val="24"/>
          <w:highlight w:val="none"/>
        </w:rPr>
        <w:t>合同编号：</w:t>
      </w:r>
    </w:p>
    <w:p w14:paraId="07807936">
      <w:pPr>
        <w:spacing w:line="52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项目名称：</w:t>
      </w:r>
    </w:p>
    <w:p w14:paraId="540B42E1">
      <w:pPr>
        <w:spacing w:line="52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 xml:space="preserve">采购人（以下称甲方）： </w:t>
      </w:r>
    </w:p>
    <w:p w14:paraId="05CE1539">
      <w:pPr>
        <w:spacing w:line="52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 xml:space="preserve">住所地： </w:t>
      </w:r>
    </w:p>
    <w:p w14:paraId="0446B018">
      <w:pPr>
        <w:spacing w:line="52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 xml:space="preserve">供应商（以下称乙方）： </w:t>
      </w:r>
    </w:p>
    <w:p w14:paraId="52BEA297">
      <w:pPr>
        <w:spacing w:line="52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住所地：</w:t>
      </w:r>
    </w:p>
    <w:p w14:paraId="62320739">
      <w:pPr>
        <w:spacing w:line="52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采购代理机构：</w:t>
      </w:r>
      <w:r>
        <w:rPr>
          <w:bCs/>
          <w:sz w:val="24"/>
          <w:highlight w:val="none"/>
        </w:rPr>
        <w:t>江苏省体育装备中心</w:t>
      </w:r>
    </w:p>
    <w:p w14:paraId="0DDF159F">
      <w:pPr>
        <w:spacing w:line="52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根据《中华人民共和国</w:t>
      </w:r>
      <w:r>
        <w:rPr>
          <w:rFonts w:hint="eastAsia" w:ascii="Times New Roman" w:hAnsi="Times New Roman"/>
          <w:color w:val="000000"/>
          <w:sz w:val="24"/>
          <w:highlight w:val="none"/>
        </w:rPr>
        <w:t>民法典</w:t>
      </w:r>
      <w:r>
        <w:rPr>
          <w:rFonts w:ascii="Times New Roman" w:hAnsi="Times New Roman"/>
          <w:color w:val="000000"/>
          <w:sz w:val="24"/>
          <w:highlight w:val="none"/>
        </w:rPr>
        <w:t>》、《中华人民共和国政府采购法》等法律法规的规定，甲、乙双方按照江苏省体育装备中心的招标结果签订本合同。</w:t>
      </w:r>
    </w:p>
    <w:p w14:paraId="4E796BE9">
      <w:pPr>
        <w:spacing w:line="520" w:lineRule="exact"/>
        <w:ind w:firstLine="482" w:firstLineChars="200"/>
        <w:rPr>
          <w:rFonts w:ascii="Times New Roman" w:hAnsi="Times New Roman"/>
          <w:b/>
          <w:color w:val="000000"/>
          <w:sz w:val="24"/>
          <w:highlight w:val="none"/>
        </w:rPr>
      </w:pPr>
      <w:r>
        <w:rPr>
          <w:rFonts w:ascii="Times New Roman" w:hAnsi="Times New Roman"/>
          <w:b/>
          <w:color w:val="000000"/>
          <w:sz w:val="24"/>
          <w:highlight w:val="none"/>
        </w:rPr>
        <w:t>第一条　合同标的</w:t>
      </w:r>
    </w:p>
    <w:p w14:paraId="345C9824">
      <w:pPr>
        <w:spacing w:line="52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乙方根据甲方需求提供下列货物：</w:t>
      </w:r>
    </w:p>
    <w:tbl>
      <w:tblPr>
        <w:tblStyle w:val="37"/>
        <w:tblW w:w="0" w:type="auto"/>
        <w:jc w:val="center"/>
        <w:tblLayout w:type="fixed"/>
        <w:tblCellMar>
          <w:top w:w="0" w:type="dxa"/>
          <w:left w:w="108" w:type="dxa"/>
          <w:bottom w:w="0" w:type="dxa"/>
          <w:right w:w="108" w:type="dxa"/>
        </w:tblCellMar>
      </w:tblPr>
      <w:tblGrid>
        <w:gridCol w:w="698"/>
        <w:gridCol w:w="2104"/>
        <w:gridCol w:w="2126"/>
        <w:gridCol w:w="1286"/>
        <w:gridCol w:w="1832"/>
      </w:tblGrid>
      <w:tr w14:paraId="1DAD5D00">
        <w:trPr>
          <w:trHeight w:val="567" w:hRule="atLeast"/>
          <w:jc w:val="center"/>
        </w:trPr>
        <w:tc>
          <w:tcPr>
            <w:tcW w:w="698" w:type="dxa"/>
            <w:tcBorders>
              <w:top w:val="single" w:color="auto" w:sz="4" w:space="0"/>
              <w:left w:val="single" w:color="auto" w:sz="4" w:space="0"/>
              <w:bottom w:val="single" w:color="auto" w:sz="4" w:space="0"/>
              <w:right w:val="single" w:color="auto" w:sz="4" w:space="0"/>
            </w:tcBorders>
            <w:noWrap w:val="0"/>
            <w:vAlign w:val="center"/>
          </w:tcPr>
          <w:p w14:paraId="598B2EA3">
            <w:pPr>
              <w:spacing w:line="520" w:lineRule="exact"/>
              <w:jc w:val="center"/>
              <w:rPr>
                <w:color w:val="000000"/>
                <w:sz w:val="24"/>
                <w:highlight w:val="none"/>
              </w:rPr>
            </w:pPr>
            <w:r>
              <w:rPr>
                <w:color w:val="000000"/>
                <w:sz w:val="24"/>
                <w:highlight w:val="none"/>
              </w:rPr>
              <w:t>序号</w:t>
            </w:r>
          </w:p>
        </w:tc>
        <w:tc>
          <w:tcPr>
            <w:tcW w:w="2104" w:type="dxa"/>
            <w:tcBorders>
              <w:top w:val="single" w:color="auto" w:sz="4" w:space="0"/>
              <w:left w:val="nil"/>
              <w:bottom w:val="single" w:color="auto" w:sz="4" w:space="0"/>
              <w:right w:val="single" w:color="auto" w:sz="4" w:space="0"/>
            </w:tcBorders>
            <w:noWrap w:val="0"/>
            <w:vAlign w:val="center"/>
          </w:tcPr>
          <w:p w14:paraId="283DADC7">
            <w:pPr>
              <w:spacing w:line="520" w:lineRule="exact"/>
              <w:jc w:val="center"/>
              <w:rPr>
                <w:color w:val="000000"/>
                <w:sz w:val="24"/>
                <w:highlight w:val="none"/>
              </w:rPr>
            </w:pPr>
            <w:r>
              <w:rPr>
                <w:color w:val="000000"/>
                <w:sz w:val="24"/>
                <w:highlight w:val="none"/>
              </w:rPr>
              <w:t>品   名</w:t>
            </w:r>
          </w:p>
        </w:tc>
        <w:tc>
          <w:tcPr>
            <w:tcW w:w="2126" w:type="dxa"/>
            <w:tcBorders>
              <w:top w:val="single" w:color="auto" w:sz="4" w:space="0"/>
              <w:left w:val="nil"/>
              <w:bottom w:val="single" w:color="auto" w:sz="4" w:space="0"/>
              <w:right w:val="single" w:color="auto" w:sz="4" w:space="0"/>
            </w:tcBorders>
            <w:noWrap w:val="0"/>
            <w:vAlign w:val="center"/>
          </w:tcPr>
          <w:p w14:paraId="23C53168">
            <w:pPr>
              <w:spacing w:line="520" w:lineRule="exact"/>
              <w:jc w:val="center"/>
              <w:rPr>
                <w:color w:val="000000"/>
                <w:sz w:val="24"/>
                <w:highlight w:val="none"/>
              </w:rPr>
            </w:pPr>
            <w:r>
              <w:rPr>
                <w:color w:val="000000"/>
                <w:sz w:val="24"/>
                <w:highlight w:val="none"/>
              </w:rPr>
              <w:t>规格型号</w:t>
            </w:r>
          </w:p>
        </w:tc>
        <w:tc>
          <w:tcPr>
            <w:tcW w:w="1286" w:type="dxa"/>
            <w:tcBorders>
              <w:top w:val="single" w:color="auto" w:sz="4" w:space="0"/>
              <w:left w:val="single" w:color="auto" w:sz="4" w:space="0"/>
              <w:bottom w:val="single" w:color="auto" w:sz="4" w:space="0"/>
              <w:right w:val="single" w:color="auto" w:sz="4" w:space="0"/>
            </w:tcBorders>
            <w:noWrap w:val="0"/>
            <w:vAlign w:val="center"/>
          </w:tcPr>
          <w:p w14:paraId="7AC5ED8E">
            <w:pPr>
              <w:spacing w:line="520" w:lineRule="exact"/>
              <w:jc w:val="center"/>
              <w:rPr>
                <w:color w:val="000000"/>
                <w:sz w:val="24"/>
                <w:highlight w:val="none"/>
              </w:rPr>
            </w:pPr>
            <w:r>
              <w:rPr>
                <w:color w:val="000000"/>
                <w:sz w:val="24"/>
                <w:highlight w:val="none"/>
              </w:rPr>
              <w:t>数量</w:t>
            </w:r>
          </w:p>
        </w:tc>
        <w:tc>
          <w:tcPr>
            <w:tcW w:w="1832" w:type="dxa"/>
            <w:tcBorders>
              <w:top w:val="single" w:color="auto" w:sz="4" w:space="0"/>
              <w:left w:val="single" w:color="auto" w:sz="4" w:space="0"/>
              <w:bottom w:val="single" w:color="auto" w:sz="4" w:space="0"/>
              <w:right w:val="single" w:color="auto" w:sz="4" w:space="0"/>
            </w:tcBorders>
            <w:noWrap w:val="0"/>
            <w:vAlign w:val="center"/>
          </w:tcPr>
          <w:p w14:paraId="0B944DFA">
            <w:pPr>
              <w:spacing w:line="520" w:lineRule="exact"/>
              <w:jc w:val="center"/>
              <w:rPr>
                <w:color w:val="000000"/>
                <w:sz w:val="24"/>
                <w:highlight w:val="none"/>
              </w:rPr>
            </w:pPr>
            <w:r>
              <w:rPr>
                <w:color w:val="000000"/>
                <w:sz w:val="24"/>
                <w:highlight w:val="none"/>
              </w:rPr>
              <w:t>单价</w:t>
            </w:r>
          </w:p>
        </w:tc>
      </w:tr>
      <w:tr w14:paraId="19517066">
        <w:tblPrEx>
          <w:tblCellMar>
            <w:top w:w="0" w:type="dxa"/>
            <w:left w:w="108" w:type="dxa"/>
            <w:bottom w:w="0" w:type="dxa"/>
            <w:right w:w="108" w:type="dxa"/>
          </w:tblCellMar>
        </w:tblPrEx>
        <w:trPr>
          <w:trHeight w:val="567" w:hRule="atLeast"/>
          <w:jc w:val="center"/>
        </w:trPr>
        <w:tc>
          <w:tcPr>
            <w:tcW w:w="698" w:type="dxa"/>
            <w:tcBorders>
              <w:top w:val="nil"/>
              <w:left w:val="single" w:color="auto" w:sz="4" w:space="0"/>
              <w:bottom w:val="single" w:color="auto" w:sz="4" w:space="0"/>
              <w:right w:val="single" w:color="auto" w:sz="4" w:space="0"/>
            </w:tcBorders>
            <w:noWrap w:val="0"/>
            <w:vAlign w:val="center"/>
          </w:tcPr>
          <w:p w14:paraId="68CA280A">
            <w:pPr>
              <w:spacing w:line="520" w:lineRule="exact"/>
              <w:jc w:val="center"/>
              <w:rPr>
                <w:color w:val="000000"/>
                <w:sz w:val="24"/>
                <w:highlight w:val="none"/>
              </w:rPr>
            </w:pPr>
            <w:r>
              <w:rPr>
                <w:color w:val="000000"/>
                <w:sz w:val="24"/>
                <w:highlight w:val="none"/>
              </w:rPr>
              <w:t>1</w:t>
            </w:r>
          </w:p>
        </w:tc>
        <w:tc>
          <w:tcPr>
            <w:tcW w:w="2104" w:type="dxa"/>
            <w:tcBorders>
              <w:top w:val="nil"/>
              <w:left w:val="nil"/>
              <w:bottom w:val="single" w:color="auto" w:sz="4" w:space="0"/>
              <w:right w:val="single" w:color="auto" w:sz="4" w:space="0"/>
            </w:tcBorders>
            <w:noWrap w:val="0"/>
            <w:vAlign w:val="center"/>
          </w:tcPr>
          <w:p w14:paraId="7F48AA1E">
            <w:pPr>
              <w:spacing w:line="520" w:lineRule="exact"/>
              <w:ind w:firstLine="480" w:firstLineChars="200"/>
              <w:jc w:val="center"/>
              <w:rPr>
                <w:color w:val="000000"/>
                <w:sz w:val="24"/>
                <w:highlight w:val="none"/>
              </w:rPr>
            </w:pPr>
          </w:p>
        </w:tc>
        <w:tc>
          <w:tcPr>
            <w:tcW w:w="2126" w:type="dxa"/>
            <w:tcBorders>
              <w:top w:val="nil"/>
              <w:left w:val="nil"/>
              <w:bottom w:val="single" w:color="auto" w:sz="4" w:space="0"/>
              <w:right w:val="single" w:color="auto" w:sz="4" w:space="0"/>
            </w:tcBorders>
            <w:noWrap w:val="0"/>
            <w:vAlign w:val="center"/>
          </w:tcPr>
          <w:p w14:paraId="0F9A92D6">
            <w:pPr>
              <w:spacing w:line="520" w:lineRule="exact"/>
              <w:ind w:firstLine="480" w:firstLineChars="200"/>
              <w:jc w:val="center"/>
              <w:rPr>
                <w:color w:val="000000"/>
                <w:sz w:val="24"/>
                <w:highlight w:val="none"/>
              </w:rPr>
            </w:pPr>
          </w:p>
        </w:tc>
        <w:tc>
          <w:tcPr>
            <w:tcW w:w="1286" w:type="dxa"/>
            <w:tcBorders>
              <w:top w:val="nil"/>
              <w:left w:val="single" w:color="auto" w:sz="4" w:space="0"/>
              <w:bottom w:val="single" w:color="auto" w:sz="4" w:space="0"/>
              <w:right w:val="single" w:color="auto" w:sz="4" w:space="0"/>
            </w:tcBorders>
            <w:noWrap w:val="0"/>
            <w:vAlign w:val="center"/>
          </w:tcPr>
          <w:p w14:paraId="025625C8">
            <w:pPr>
              <w:spacing w:line="520" w:lineRule="exact"/>
              <w:ind w:firstLine="480" w:firstLineChars="200"/>
              <w:jc w:val="center"/>
              <w:rPr>
                <w:color w:val="000000"/>
                <w:sz w:val="24"/>
                <w:highlight w:val="none"/>
              </w:rPr>
            </w:pPr>
          </w:p>
        </w:tc>
        <w:tc>
          <w:tcPr>
            <w:tcW w:w="1832" w:type="dxa"/>
            <w:tcBorders>
              <w:top w:val="nil"/>
              <w:left w:val="single" w:color="auto" w:sz="4" w:space="0"/>
              <w:bottom w:val="single" w:color="auto" w:sz="4" w:space="0"/>
              <w:right w:val="single" w:color="auto" w:sz="4" w:space="0"/>
            </w:tcBorders>
            <w:noWrap w:val="0"/>
            <w:vAlign w:val="center"/>
          </w:tcPr>
          <w:p w14:paraId="02A2C388">
            <w:pPr>
              <w:spacing w:line="520" w:lineRule="exact"/>
              <w:ind w:firstLine="480" w:firstLineChars="200"/>
              <w:jc w:val="center"/>
              <w:rPr>
                <w:color w:val="000000"/>
                <w:sz w:val="24"/>
                <w:highlight w:val="none"/>
              </w:rPr>
            </w:pPr>
          </w:p>
        </w:tc>
      </w:tr>
      <w:tr w14:paraId="36BA9BF2">
        <w:tblPrEx>
          <w:tblCellMar>
            <w:top w:w="0" w:type="dxa"/>
            <w:left w:w="108" w:type="dxa"/>
            <w:bottom w:w="0" w:type="dxa"/>
            <w:right w:w="108" w:type="dxa"/>
          </w:tblCellMar>
        </w:tblPrEx>
        <w:trPr>
          <w:trHeight w:val="454" w:hRule="atLeast"/>
          <w:jc w:val="center"/>
        </w:trPr>
        <w:tc>
          <w:tcPr>
            <w:tcW w:w="8046" w:type="dxa"/>
            <w:gridSpan w:val="5"/>
            <w:tcBorders>
              <w:top w:val="single" w:color="auto" w:sz="4" w:space="0"/>
              <w:left w:val="single" w:color="auto" w:sz="4" w:space="0"/>
              <w:bottom w:val="single" w:color="auto" w:sz="4" w:space="0"/>
              <w:right w:val="single" w:color="auto" w:sz="4" w:space="0"/>
            </w:tcBorders>
            <w:noWrap w:val="0"/>
            <w:vAlign w:val="top"/>
          </w:tcPr>
          <w:p w14:paraId="04AEF942">
            <w:pPr>
              <w:spacing w:line="520" w:lineRule="exact"/>
              <w:ind w:firstLine="480" w:firstLineChars="200"/>
              <w:rPr>
                <w:color w:val="000000"/>
                <w:sz w:val="24"/>
                <w:highlight w:val="none"/>
              </w:rPr>
            </w:pPr>
            <w:r>
              <w:rPr>
                <w:color w:val="000000"/>
                <w:sz w:val="24"/>
                <w:highlight w:val="none"/>
              </w:rPr>
              <w:t xml:space="preserve">合计（大写）： </w:t>
            </w:r>
          </w:p>
        </w:tc>
      </w:tr>
    </w:tbl>
    <w:p w14:paraId="65946F6B">
      <w:pPr>
        <w:spacing w:line="500" w:lineRule="exact"/>
        <w:ind w:firstLine="482" w:firstLineChars="200"/>
        <w:rPr>
          <w:rFonts w:ascii="Times New Roman" w:hAnsi="Times New Roman"/>
          <w:b/>
          <w:color w:val="000000"/>
          <w:sz w:val="24"/>
          <w:highlight w:val="none"/>
        </w:rPr>
      </w:pPr>
      <w:r>
        <w:rPr>
          <w:rFonts w:ascii="Times New Roman" w:hAnsi="Times New Roman"/>
          <w:b/>
          <w:color w:val="000000"/>
          <w:sz w:val="24"/>
          <w:highlight w:val="none"/>
        </w:rPr>
        <w:t>第二条　合同总价款（结算价）</w:t>
      </w:r>
    </w:p>
    <w:p w14:paraId="11288F2D">
      <w:pPr>
        <w:spacing w:line="50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本合同项下货物总价款（结算价）为（大写）</w:t>
      </w:r>
      <w:r>
        <w:rPr>
          <w:rFonts w:ascii="Times New Roman" w:hAnsi="Times New Roman"/>
          <w:color w:val="000000"/>
          <w:sz w:val="24"/>
          <w:highlight w:val="none"/>
          <w:u w:val="single"/>
        </w:rPr>
        <w:t xml:space="preserve">       （￥      ）</w:t>
      </w:r>
      <w:r>
        <w:rPr>
          <w:rFonts w:ascii="Times New Roman" w:hAnsi="Times New Roman"/>
          <w:color w:val="000000"/>
          <w:sz w:val="24"/>
          <w:highlight w:val="none"/>
        </w:rPr>
        <w:t>人民币，分项价款在“投标报价表”中有明确规定。</w:t>
      </w:r>
    </w:p>
    <w:p w14:paraId="3AD40F11">
      <w:pPr>
        <w:spacing w:line="50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本合同总价款是货物设计、制造、包装、仓储、运输、安装及验收合格之前及保修期内备品备件发生的所有含税费用。</w:t>
      </w:r>
    </w:p>
    <w:p w14:paraId="7B399D8B">
      <w:pPr>
        <w:spacing w:line="50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本合同总价款还包含乙方应当提供的伴随服务/售后服务费用。</w:t>
      </w:r>
    </w:p>
    <w:p w14:paraId="752794BB">
      <w:pPr>
        <w:spacing w:line="50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本合同执行期间合同总价款不变。</w:t>
      </w:r>
    </w:p>
    <w:p w14:paraId="2B5227CA">
      <w:pPr>
        <w:spacing w:line="500" w:lineRule="exact"/>
        <w:ind w:firstLine="482" w:firstLineChars="200"/>
        <w:rPr>
          <w:rFonts w:ascii="Times New Roman" w:hAnsi="Times New Roman"/>
          <w:b/>
          <w:color w:val="000000"/>
          <w:sz w:val="24"/>
          <w:highlight w:val="none"/>
        </w:rPr>
      </w:pPr>
      <w:r>
        <w:rPr>
          <w:rFonts w:ascii="Times New Roman" w:hAnsi="Times New Roman"/>
          <w:b/>
          <w:color w:val="000000"/>
          <w:sz w:val="24"/>
          <w:highlight w:val="none"/>
        </w:rPr>
        <w:t>第三条　组成本合同的有关文件</w:t>
      </w:r>
    </w:p>
    <w:p w14:paraId="745C21B0">
      <w:pPr>
        <w:spacing w:line="500" w:lineRule="exact"/>
        <w:ind w:firstLine="480" w:firstLineChars="200"/>
        <w:rPr>
          <w:rFonts w:ascii="Times New Roman" w:hAnsi="Times New Roman"/>
          <w:color w:val="000000"/>
          <w:sz w:val="24"/>
          <w:highlight w:val="none"/>
        </w:rPr>
      </w:pPr>
      <w:r>
        <w:rPr>
          <w:rFonts w:ascii="Times New Roman" w:hAnsi="Times New Roman"/>
          <w:sz w:val="24"/>
          <w:highlight w:val="none"/>
        </w:rPr>
        <w:t>下列关于江苏省体育装备中心</w:t>
      </w:r>
      <w:r>
        <w:rPr>
          <w:rFonts w:hint="eastAsia"/>
          <w:sz w:val="24"/>
          <w:highlight w:val="none"/>
          <w:lang w:eastAsia="zh-CN"/>
        </w:rPr>
        <w:t>JSZC-320000-STZB-G2026-0016（STZ-ZBGK26015）</w:t>
      </w:r>
      <w:r>
        <w:rPr>
          <w:rFonts w:ascii="Times New Roman" w:hAnsi="Times New Roman"/>
          <w:sz w:val="24"/>
          <w:highlight w:val="none"/>
        </w:rPr>
        <w:t>号的招投标</w:t>
      </w:r>
      <w:r>
        <w:rPr>
          <w:rFonts w:ascii="Times New Roman" w:hAnsi="Times New Roman"/>
          <w:color w:val="000000"/>
          <w:sz w:val="24"/>
          <w:highlight w:val="none"/>
        </w:rPr>
        <w:t>文件或与本次采购活动方式相适应的文件及有关附件是本合同不可分割的组成部分，与本合同具有同等法律效力，这些文件包括但不限于：</w:t>
      </w:r>
    </w:p>
    <w:p w14:paraId="6440DA35">
      <w:pPr>
        <w:spacing w:line="50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（1）乙方提供的投标文件和投标报价表；</w:t>
      </w:r>
    </w:p>
    <w:p w14:paraId="5E6553E5">
      <w:pPr>
        <w:spacing w:line="50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（2）供货一览表；</w:t>
      </w:r>
    </w:p>
    <w:p w14:paraId="275D2640">
      <w:pPr>
        <w:spacing w:line="50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（3）交货地点一览表；</w:t>
      </w:r>
    </w:p>
    <w:p w14:paraId="668241DA">
      <w:pPr>
        <w:spacing w:line="50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（4）技术规格响应表；</w:t>
      </w:r>
    </w:p>
    <w:p w14:paraId="59F09C5F">
      <w:pPr>
        <w:spacing w:line="50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（5）投标承诺；</w:t>
      </w:r>
    </w:p>
    <w:p w14:paraId="62160E9D">
      <w:pPr>
        <w:spacing w:line="50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（6）服务承诺；</w:t>
      </w:r>
    </w:p>
    <w:p w14:paraId="160A9ADF">
      <w:pPr>
        <w:spacing w:line="50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（7）中标或成交通知书；</w:t>
      </w:r>
    </w:p>
    <w:p w14:paraId="57D389A0">
      <w:pPr>
        <w:spacing w:line="50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（8）甲乙双方商定的其他文件。</w:t>
      </w:r>
    </w:p>
    <w:p w14:paraId="1A143DC1">
      <w:pPr>
        <w:spacing w:line="500" w:lineRule="exact"/>
        <w:ind w:firstLine="482" w:firstLineChars="200"/>
        <w:rPr>
          <w:rFonts w:ascii="Times New Roman" w:hAnsi="Times New Roman"/>
          <w:b/>
          <w:color w:val="000000"/>
          <w:sz w:val="24"/>
          <w:highlight w:val="none"/>
        </w:rPr>
      </w:pPr>
      <w:r>
        <w:rPr>
          <w:rFonts w:ascii="Times New Roman" w:hAnsi="Times New Roman"/>
          <w:b/>
          <w:color w:val="000000"/>
          <w:sz w:val="24"/>
          <w:highlight w:val="none"/>
        </w:rPr>
        <w:t>第四条 权利保证</w:t>
      </w:r>
    </w:p>
    <w:p w14:paraId="770EAAF3">
      <w:pPr>
        <w:spacing w:line="50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乙方应保证甲方在使用该货物或其任何一部分时不受到第三方提出的侵犯其专利权、版权、商标权或其他权利的起诉。一旦出现侵权，乙方应承担全部责任。</w:t>
      </w:r>
    </w:p>
    <w:p w14:paraId="325C9B9E">
      <w:pPr>
        <w:spacing w:line="500" w:lineRule="exact"/>
        <w:ind w:firstLine="482" w:firstLineChars="200"/>
        <w:rPr>
          <w:rFonts w:ascii="Times New Roman" w:hAnsi="Times New Roman"/>
          <w:b/>
          <w:color w:val="000000"/>
          <w:sz w:val="24"/>
          <w:highlight w:val="none"/>
        </w:rPr>
      </w:pPr>
      <w:r>
        <w:rPr>
          <w:rFonts w:ascii="Times New Roman" w:hAnsi="Times New Roman"/>
          <w:b/>
          <w:color w:val="000000"/>
          <w:sz w:val="24"/>
          <w:highlight w:val="none"/>
        </w:rPr>
        <w:t>第五条　质量保证</w:t>
      </w:r>
    </w:p>
    <w:p w14:paraId="50EDA74D">
      <w:pPr>
        <w:spacing w:line="50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1、乙方所提供的货物的技术规格应与招标文件规定的技术规格及所附的“技术规格响应表”相一致；若技术性能无特殊说明，质量应符合国家标准、行业标准、企业标准及相应的技术规范要求中要求最高的标准。</w:t>
      </w:r>
    </w:p>
    <w:p w14:paraId="505EA704">
      <w:pPr>
        <w:spacing w:line="50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016D7F7E">
      <w:pPr>
        <w:spacing w:line="500" w:lineRule="exact"/>
        <w:ind w:firstLine="482" w:firstLineChars="200"/>
        <w:rPr>
          <w:rFonts w:ascii="Times New Roman" w:hAnsi="Times New Roman"/>
          <w:b/>
          <w:bCs/>
          <w:color w:val="000000"/>
          <w:sz w:val="24"/>
          <w:highlight w:val="none"/>
        </w:rPr>
      </w:pPr>
      <w:r>
        <w:rPr>
          <w:rFonts w:ascii="Times New Roman" w:hAnsi="Times New Roman"/>
          <w:b/>
          <w:bCs/>
          <w:color w:val="000000"/>
          <w:sz w:val="24"/>
          <w:highlight w:val="none"/>
        </w:rPr>
        <w:t>3、交付使用前发生的货物损坏或不合格，一律退换新品。在保修期内发生的设备损坏或性能不合格（非使用不当原因造成），除甲方同意修理外，应退换新品。</w:t>
      </w:r>
    </w:p>
    <w:p w14:paraId="5A5F7BAF">
      <w:pPr>
        <w:spacing w:line="500" w:lineRule="exact"/>
        <w:ind w:firstLine="480" w:firstLineChars="200"/>
        <w:rPr>
          <w:rFonts w:ascii="Times New Roman" w:hAnsi="Times New Roman"/>
          <w:sz w:val="24"/>
          <w:highlight w:val="none"/>
        </w:rPr>
      </w:pPr>
      <w:r>
        <w:rPr>
          <w:rFonts w:ascii="Times New Roman" w:hAnsi="Times New Roman"/>
          <w:sz w:val="24"/>
          <w:highlight w:val="none"/>
        </w:rPr>
        <w:t>4、根据相关质量检验部门检验结果或者在质量保证期内，如果货物的数量、质量或规格与合同不符，或证明货物是有缺陷的，包括潜在的缺陷或使用不符合要求的材料等，甲方有权以书面形式向乙方提出索赔。</w:t>
      </w:r>
      <w:r>
        <w:rPr>
          <w:rFonts w:ascii="Times New Roman" w:hAnsi="Times New Roman"/>
          <w:bCs/>
          <w:sz w:val="24"/>
          <w:highlight w:val="none"/>
        </w:rPr>
        <w:t>对达不到技术要求者，根据实际情况，经双方协商，可按以下情况进行处理：</w:t>
      </w:r>
    </w:p>
    <w:p w14:paraId="1322CC73">
      <w:pPr>
        <w:spacing w:line="500" w:lineRule="exact"/>
        <w:ind w:firstLine="480" w:firstLineChars="200"/>
        <w:rPr>
          <w:rFonts w:ascii="Times New Roman" w:hAnsi="Times New Roman"/>
          <w:bCs/>
          <w:sz w:val="24"/>
          <w:highlight w:val="none"/>
        </w:rPr>
      </w:pPr>
      <w:r>
        <w:rPr>
          <w:rFonts w:ascii="Times New Roman" w:hAnsi="Times New Roman"/>
          <w:bCs/>
          <w:sz w:val="24"/>
          <w:highlight w:val="none"/>
        </w:rPr>
        <w:t>（1）更换：由乙方承担因更换货物所发生的全部费用。</w:t>
      </w:r>
    </w:p>
    <w:p w14:paraId="7DFDB8A1">
      <w:pPr>
        <w:spacing w:line="500" w:lineRule="exact"/>
        <w:ind w:firstLine="480" w:firstLineChars="200"/>
        <w:rPr>
          <w:rFonts w:ascii="Times New Roman" w:hAnsi="Times New Roman"/>
          <w:bCs/>
          <w:sz w:val="24"/>
          <w:highlight w:val="none"/>
        </w:rPr>
      </w:pPr>
      <w:r>
        <w:rPr>
          <w:rFonts w:ascii="Times New Roman" w:hAnsi="Times New Roman"/>
          <w:bCs/>
          <w:sz w:val="24"/>
          <w:highlight w:val="none"/>
        </w:rPr>
        <w:t>（2）贬值处理：由甲乙双方合议定价。</w:t>
      </w:r>
    </w:p>
    <w:p w14:paraId="3982EAC5">
      <w:pPr>
        <w:spacing w:line="500" w:lineRule="exact"/>
        <w:ind w:firstLine="480" w:firstLineChars="200"/>
        <w:rPr>
          <w:rFonts w:ascii="Times New Roman" w:hAnsi="Times New Roman"/>
          <w:bCs/>
          <w:sz w:val="24"/>
          <w:highlight w:val="none"/>
        </w:rPr>
      </w:pPr>
      <w:r>
        <w:rPr>
          <w:rFonts w:ascii="Times New Roman" w:hAnsi="Times New Roman"/>
          <w:bCs/>
          <w:sz w:val="24"/>
          <w:highlight w:val="none"/>
        </w:rPr>
        <w:t>（3）退货处理：乙方应退还甲方支付相应货物的合同款，同时应承担因退还该货物所产生的直接费用（包括但不限于运输、保险、检验、货款利息及银行手续费等）。如果造成其他损失的，乙方应承担相应的损失。</w:t>
      </w:r>
    </w:p>
    <w:p w14:paraId="5C033654">
      <w:pPr>
        <w:spacing w:line="500" w:lineRule="exact"/>
        <w:ind w:firstLine="480" w:firstLineChars="200"/>
        <w:rPr>
          <w:color w:val="000000"/>
          <w:sz w:val="24"/>
          <w:highlight w:val="none"/>
        </w:rPr>
      </w:pPr>
      <w:r>
        <w:rPr>
          <w:color w:val="000000"/>
          <w:sz w:val="24"/>
          <w:highlight w:val="none"/>
        </w:rPr>
        <w:t>5、如果乙方在收到通知后，在合同中所附服务承诺约定的时间内没有</w:t>
      </w:r>
      <w:r>
        <w:rPr>
          <w:rFonts w:hint="eastAsia"/>
          <w:color w:val="000000"/>
          <w:sz w:val="24"/>
          <w:highlight w:val="none"/>
        </w:rPr>
        <w:t>对问题进行处置</w:t>
      </w:r>
      <w:r>
        <w:rPr>
          <w:color w:val="000000"/>
          <w:sz w:val="24"/>
          <w:highlight w:val="none"/>
        </w:rPr>
        <w:t>，甲方可采取必要的补救措施，但风险和费用将由乙方承担。</w:t>
      </w:r>
    </w:p>
    <w:p w14:paraId="37020FB9">
      <w:pPr>
        <w:spacing w:line="500" w:lineRule="exact"/>
        <w:ind w:firstLine="482" w:firstLineChars="200"/>
        <w:rPr>
          <w:rFonts w:ascii="Times New Roman" w:hAnsi="Times New Roman"/>
          <w:b/>
          <w:color w:val="000000"/>
          <w:sz w:val="24"/>
          <w:highlight w:val="none"/>
        </w:rPr>
      </w:pPr>
      <w:r>
        <w:rPr>
          <w:rFonts w:ascii="Times New Roman" w:hAnsi="Times New Roman"/>
          <w:b/>
          <w:color w:val="000000"/>
          <w:sz w:val="24"/>
          <w:highlight w:val="none"/>
        </w:rPr>
        <w:t xml:space="preserve">第六条 </w:t>
      </w:r>
      <w:r>
        <w:rPr>
          <w:rFonts w:ascii="Times New Roman" w:hAnsi="Times New Roman"/>
          <w:b/>
          <w:bCs/>
          <w:sz w:val="24"/>
          <w:highlight w:val="none"/>
        </w:rPr>
        <w:t>货物包装、发运及运输</w:t>
      </w:r>
    </w:p>
    <w:p w14:paraId="1996950B">
      <w:pPr>
        <w:spacing w:line="500" w:lineRule="exact"/>
        <w:ind w:firstLine="480" w:firstLineChars="200"/>
        <w:rPr>
          <w:rFonts w:ascii="Times New Roman" w:hAnsi="Times New Roman"/>
          <w:bCs/>
          <w:sz w:val="24"/>
          <w:highlight w:val="none"/>
        </w:rPr>
      </w:pPr>
      <w:r>
        <w:rPr>
          <w:rFonts w:ascii="Times New Roman" w:hAnsi="Times New Roman"/>
          <w:color w:val="000000"/>
          <w:sz w:val="24"/>
          <w:highlight w:val="none"/>
        </w:rPr>
        <w:t>1、除合同另有规定外，乙方提供的全部货物均应按标准保护措施进行包装。该包装应适应于远距离运输、防潮、防震、防锈和防野蛮装卸，以确保货物安全无损运抵指定地点，</w:t>
      </w:r>
      <w:r>
        <w:rPr>
          <w:rFonts w:ascii="Times New Roman" w:hAnsi="Times New Roman"/>
          <w:bCs/>
          <w:sz w:val="24"/>
          <w:highlight w:val="none"/>
        </w:rPr>
        <w:t>产品须按甲方要求方式和提供的清单进行包装和运输，</w:t>
      </w:r>
      <w:r>
        <w:rPr>
          <w:rFonts w:ascii="Times New Roman" w:hAnsi="Times New Roman"/>
          <w:color w:val="000000"/>
          <w:sz w:val="24"/>
          <w:highlight w:val="none"/>
        </w:rPr>
        <w:t>由于包装不善所引起的货物损失均由乙方承担。</w:t>
      </w:r>
    </w:p>
    <w:p w14:paraId="47650EB1">
      <w:pPr>
        <w:spacing w:line="50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2、每一包装单元内应附详细的装箱单和质量合格凭证、</w:t>
      </w:r>
      <w:r>
        <w:rPr>
          <w:rFonts w:ascii="Times New Roman" w:hAnsi="Times New Roman"/>
          <w:bCs/>
          <w:sz w:val="24"/>
          <w:highlight w:val="none"/>
        </w:rPr>
        <w:t>使用说明书、随配附件和工具以及清单</w:t>
      </w:r>
      <w:r>
        <w:rPr>
          <w:rFonts w:ascii="Times New Roman" w:hAnsi="Times New Roman"/>
          <w:color w:val="000000"/>
          <w:sz w:val="24"/>
          <w:highlight w:val="none"/>
        </w:rPr>
        <w:t>。</w:t>
      </w:r>
    </w:p>
    <w:p w14:paraId="3E0576F1">
      <w:pPr>
        <w:spacing w:line="500" w:lineRule="exact"/>
        <w:ind w:firstLine="480" w:firstLineChars="200"/>
        <w:rPr>
          <w:rFonts w:ascii="Times New Roman" w:hAnsi="Times New Roman"/>
          <w:bCs/>
          <w:sz w:val="24"/>
          <w:highlight w:val="none"/>
        </w:rPr>
      </w:pPr>
      <w:r>
        <w:rPr>
          <w:rFonts w:ascii="Times New Roman" w:hAnsi="Times New Roman"/>
          <w:color w:val="000000"/>
          <w:sz w:val="24"/>
          <w:highlight w:val="none"/>
        </w:rPr>
        <w:t>3、</w:t>
      </w:r>
      <w:r>
        <w:rPr>
          <w:rFonts w:ascii="Times New Roman" w:hAnsi="Times New Roman"/>
          <w:bCs/>
          <w:sz w:val="24"/>
          <w:highlight w:val="none"/>
        </w:rPr>
        <w:t>乙方在货物发运手续办理完毕后24小时内或货到甲方48小时前通知甲方，以准备接货。</w:t>
      </w:r>
    </w:p>
    <w:p w14:paraId="5AFC1F93">
      <w:pPr>
        <w:spacing w:line="500" w:lineRule="exact"/>
        <w:ind w:firstLine="480" w:firstLineChars="200"/>
        <w:rPr>
          <w:rFonts w:ascii="Times New Roman" w:hAnsi="Times New Roman"/>
          <w:bCs/>
          <w:sz w:val="24"/>
          <w:highlight w:val="none"/>
        </w:rPr>
      </w:pPr>
      <w:r>
        <w:rPr>
          <w:rFonts w:ascii="Times New Roman" w:hAnsi="Times New Roman"/>
          <w:bCs/>
          <w:sz w:val="24"/>
          <w:highlight w:val="none"/>
        </w:rPr>
        <w:t>4、货物在交付甲方前发生的风险均由乙方负责。</w:t>
      </w:r>
    </w:p>
    <w:p w14:paraId="796147CF">
      <w:pPr>
        <w:spacing w:line="500" w:lineRule="exact"/>
        <w:ind w:firstLine="480" w:firstLineChars="200"/>
        <w:rPr>
          <w:rFonts w:ascii="Times New Roman" w:hAnsi="Times New Roman"/>
          <w:bCs/>
          <w:sz w:val="24"/>
          <w:highlight w:val="none"/>
        </w:rPr>
      </w:pPr>
      <w:r>
        <w:rPr>
          <w:rFonts w:ascii="Times New Roman" w:hAnsi="Times New Roman"/>
          <w:color w:val="000000"/>
          <w:sz w:val="24"/>
          <w:highlight w:val="none"/>
        </w:rPr>
        <w:t>5、</w:t>
      </w:r>
      <w:r>
        <w:rPr>
          <w:rFonts w:ascii="Times New Roman" w:hAnsi="Times New Roman"/>
          <w:bCs/>
          <w:sz w:val="24"/>
          <w:highlight w:val="none"/>
        </w:rPr>
        <w:t>货物在规定的交付期限内由乙方送达甲方指定的地点、安装完毕，待甲方验收合格后视为交付，乙方同时需通知甲方货物已送达。</w:t>
      </w:r>
    </w:p>
    <w:p w14:paraId="0CBB484F">
      <w:pPr>
        <w:spacing w:line="500" w:lineRule="exact"/>
        <w:ind w:firstLine="482" w:firstLineChars="200"/>
        <w:rPr>
          <w:rFonts w:ascii="Times New Roman" w:hAnsi="Times New Roman"/>
          <w:b/>
          <w:color w:val="000000"/>
          <w:sz w:val="24"/>
          <w:highlight w:val="none"/>
        </w:rPr>
      </w:pPr>
      <w:r>
        <w:rPr>
          <w:rFonts w:ascii="Times New Roman" w:hAnsi="Times New Roman"/>
          <w:b/>
          <w:color w:val="000000"/>
          <w:sz w:val="24"/>
          <w:highlight w:val="none"/>
        </w:rPr>
        <w:t>第七条　交货和验收</w:t>
      </w:r>
    </w:p>
    <w:p w14:paraId="05A5004F">
      <w:pPr>
        <w:spacing w:line="500" w:lineRule="exact"/>
        <w:ind w:firstLine="480" w:firstLineChars="200"/>
        <w:rPr>
          <w:rFonts w:ascii="Times New Roman" w:hAnsi="Times New Roman"/>
          <w:sz w:val="24"/>
          <w:highlight w:val="none"/>
        </w:rPr>
      </w:pPr>
      <w:r>
        <w:rPr>
          <w:rFonts w:ascii="Times New Roman" w:hAnsi="Times New Roman"/>
          <w:color w:val="000000"/>
          <w:sz w:val="24"/>
          <w:highlight w:val="none"/>
        </w:rPr>
        <w:t>1、乙方应按照本合同或招投标文件规定的时间和方式向甲方交付货物，</w:t>
      </w:r>
      <w:r>
        <w:rPr>
          <w:rFonts w:hint="eastAsia" w:ascii="宋体" w:hAnsi="宋体" w:cs="宋体"/>
          <w:color w:val="000000"/>
          <w:sz w:val="24"/>
          <w:highlight w:val="none"/>
        </w:rPr>
        <w:t>自合</w:t>
      </w:r>
      <w:r>
        <w:rPr>
          <w:rFonts w:ascii="Times New Roman" w:hAnsi="Times New Roman"/>
          <w:color w:val="000000"/>
          <w:sz w:val="24"/>
          <w:highlight w:val="none"/>
        </w:rPr>
        <w:t>同签订之日起</w:t>
      </w:r>
      <w:r>
        <w:rPr>
          <w:rFonts w:ascii="Times New Roman" w:hAnsi="Times New Roman"/>
          <w:color w:val="000000"/>
          <w:sz w:val="24"/>
          <w:highlight w:val="none"/>
          <w:u w:val="single"/>
        </w:rPr>
        <w:t xml:space="preserve">      </w:t>
      </w:r>
      <w:r>
        <w:rPr>
          <w:rFonts w:ascii="Times New Roman" w:hAnsi="Times New Roman"/>
          <w:color w:val="000000"/>
          <w:sz w:val="24"/>
          <w:highlight w:val="none"/>
        </w:rPr>
        <w:t>内将货物交付甲方，交货地点为</w:t>
      </w:r>
      <w:r>
        <w:rPr>
          <w:rFonts w:ascii="Times New Roman" w:hAnsi="Times New Roman"/>
          <w:color w:val="000000"/>
          <w:sz w:val="24"/>
          <w:highlight w:val="none"/>
          <w:u w:val="single"/>
        </w:rPr>
        <w:t xml:space="preserve">         </w:t>
      </w:r>
      <w:r>
        <w:rPr>
          <w:rFonts w:ascii="Times New Roman" w:hAnsi="Times New Roman"/>
          <w:color w:val="000000"/>
          <w:sz w:val="24"/>
          <w:highlight w:val="none"/>
        </w:rPr>
        <w:t>。</w:t>
      </w:r>
      <w:r>
        <w:rPr>
          <w:rFonts w:ascii="Times New Roman" w:hAnsi="Times New Roman"/>
          <w:sz w:val="24"/>
          <w:highlight w:val="none"/>
        </w:rPr>
        <w:t>有关运输、保险和调换等一切相关的费用由乙方承担。</w:t>
      </w:r>
    </w:p>
    <w:p w14:paraId="6247D30C">
      <w:pPr>
        <w:spacing w:line="500" w:lineRule="exact"/>
        <w:ind w:firstLine="480" w:firstLineChars="200"/>
        <w:rPr>
          <w:rFonts w:ascii="Times New Roman" w:hAnsi="Times New Roman"/>
          <w:bCs/>
          <w:sz w:val="24"/>
          <w:highlight w:val="none"/>
        </w:rPr>
      </w:pPr>
      <w:r>
        <w:rPr>
          <w:rFonts w:ascii="Times New Roman" w:hAnsi="Times New Roman"/>
          <w:bCs/>
          <w:sz w:val="24"/>
          <w:highlight w:val="none"/>
        </w:rPr>
        <w:t>2、乙方交付的货物应当完全符合本合同或者招投标文件所规定的货物、数量和规格要求。乙方不得少交或多交货物。甲方应对货物进行验收</w:t>
      </w:r>
      <w:r>
        <w:rPr>
          <w:rFonts w:hint="eastAsia" w:ascii="Times New Roman" w:hAnsi="Times New Roman"/>
          <w:bCs/>
          <w:sz w:val="24"/>
          <w:highlight w:val="none"/>
        </w:rPr>
        <w:t>，</w:t>
      </w:r>
      <w:r>
        <w:rPr>
          <w:rFonts w:ascii="Times New Roman" w:hAnsi="Times New Roman"/>
          <w:bCs/>
          <w:sz w:val="24"/>
          <w:highlight w:val="none"/>
        </w:rPr>
        <w:t>外观、功能</w:t>
      </w:r>
      <w:r>
        <w:rPr>
          <w:rFonts w:hint="eastAsia" w:ascii="Times New Roman" w:hAnsi="Times New Roman"/>
          <w:bCs/>
          <w:sz w:val="24"/>
          <w:highlight w:val="none"/>
        </w:rPr>
        <w:t>等</w:t>
      </w:r>
      <w:r>
        <w:rPr>
          <w:rFonts w:ascii="Times New Roman" w:hAnsi="Times New Roman"/>
          <w:bCs/>
          <w:sz w:val="24"/>
          <w:highlight w:val="none"/>
        </w:rPr>
        <w:t>符合招标文件技术要求的，给予签收</w:t>
      </w:r>
      <w:r>
        <w:rPr>
          <w:rFonts w:hint="eastAsia" w:ascii="Times New Roman" w:hAnsi="Times New Roman"/>
          <w:bCs/>
          <w:sz w:val="24"/>
          <w:highlight w:val="none"/>
        </w:rPr>
        <w:t>；</w:t>
      </w:r>
      <w:r>
        <w:rPr>
          <w:rFonts w:ascii="Times New Roman" w:hAnsi="Times New Roman"/>
          <w:bCs/>
          <w:sz w:val="24"/>
          <w:highlight w:val="none"/>
        </w:rPr>
        <w:t>不符合招投标文件和合同规定的，甲方有权拒收货物，由此引起的风险，由乙方承担。如货物的质量和规格与合同规定不符，或在质量保证期内发现货物是有缺陷的，乙方应在五个工作日内予以更换，逾期按交货延误予以处罚。验收合格的，由甲方签署验收单。招标文件对检验期限另有规定的，从其规定。</w:t>
      </w:r>
    </w:p>
    <w:p w14:paraId="62C3DA0A">
      <w:pPr>
        <w:spacing w:line="500" w:lineRule="exact"/>
        <w:ind w:firstLine="480" w:firstLineChars="200"/>
        <w:rPr>
          <w:rFonts w:ascii="Times New Roman" w:hAnsi="Times New Roman"/>
          <w:bCs/>
          <w:sz w:val="24"/>
          <w:highlight w:val="none"/>
        </w:rPr>
      </w:pPr>
      <w:r>
        <w:rPr>
          <w:rFonts w:ascii="Times New Roman" w:hAnsi="Times New Roman"/>
          <w:bCs/>
          <w:sz w:val="24"/>
          <w:highlight w:val="none"/>
        </w:rPr>
        <w:t>3、验收时乙方须</w:t>
      </w:r>
      <w:r>
        <w:rPr>
          <w:rFonts w:ascii="Times New Roman" w:hAnsi="Times New Roman"/>
          <w:sz w:val="24"/>
          <w:highlight w:val="none"/>
        </w:rPr>
        <w:t>提供产品合格证、</w:t>
      </w:r>
      <w:r>
        <w:rPr>
          <w:rFonts w:hint="eastAsia" w:ascii="Times New Roman" w:hAnsi="Times New Roman"/>
          <w:sz w:val="24"/>
          <w:highlight w:val="none"/>
        </w:rPr>
        <w:t>说明书</w:t>
      </w:r>
      <w:r>
        <w:rPr>
          <w:rFonts w:ascii="Times New Roman" w:hAnsi="Times New Roman"/>
          <w:sz w:val="24"/>
          <w:highlight w:val="none"/>
        </w:rPr>
        <w:t>等相关证明材料</w:t>
      </w:r>
      <w:r>
        <w:rPr>
          <w:rFonts w:ascii="Times New Roman" w:hAnsi="Times New Roman"/>
          <w:bCs/>
          <w:sz w:val="24"/>
          <w:highlight w:val="none"/>
        </w:rPr>
        <w:t>。</w:t>
      </w:r>
    </w:p>
    <w:p w14:paraId="7F3ECE35">
      <w:pPr>
        <w:spacing w:line="520" w:lineRule="exact"/>
        <w:ind w:firstLine="480" w:firstLineChars="200"/>
        <w:rPr>
          <w:rFonts w:ascii="宋体" w:hAnsi="宋体" w:cs="宋体"/>
          <w:sz w:val="24"/>
          <w:highlight w:val="none"/>
        </w:rPr>
      </w:pPr>
      <w:r>
        <w:rPr>
          <w:rFonts w:ascii="宋体" w:hAnsi="宋体" w:cs="宋体"/>
          <w:sz w:val="24"/>
          <w:highlight w:val="none"/>
        </w:rPr>
        <w:t>4</w:t>
      </w:r>
      <w:r>
        <w:rPr>
          <w:rFonts w:hint="eastAsia" w:ascii="宋体" w:hAnsi="宋体" w:cs="宋体"/>
          <w:sz w:val="24"/>
          <w:highlight w:val="none"/>
        </w:rPr>
        <w:t>、乙方交验前向甲方提交设备序列号清单。</w:t>
      </w:r>
    </w:p>
    <w:p w14:paraId="7E4683A2">
      <w:pPr>
        <w:spacing w:line="500" w:lineRule="exact"/>
        <w:ind w:firstLine="482" w:firstLineChars="200"/>
        <w:rPr>
          <w:rFonts w:ascii="Times New Roman" w:hAnsi="Times New Roman"/>
          <w:b/>
          <w:color w:val="000000"/>
          <w:sz w:val="24"/>
          <w:highlight w:val="none"/>
        </w:rPr>
      </w:pPr>
      <w:r>
        <w:rPr>
          <w:rFonts w:ascii="Times New Roman" w:hAnsi="Times New Roman"/>
          <w:b/>
          <w:color w:val="000000"/>
          <w:sz w:val="24"/>
          <w:highlight w:val="none"/>
        </w:rPr>
        <w:t>第八条　伴随服务／售后服务</w:t>
      </w:r>
    </w:p>
    <w:p w14:paraId="246C7707">
      <w:pPr>
        <w:spacing w:line="50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1、乙方应按照国家有关法律法规规章和“三包”规定以及合同所附的“服务承诺”提供服务。</w:t>
      </w:r>
    </w:p>
    <w:p w14:paraId="2D59CD8F">
      <w:pPr>
        <w:spacing w:line="50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2、除前款规定外，乙方还应提供下列服务：</w:t>
      </w:r>
    </w:p>
    <w:p w14:paraId="11B08D18">
      <w:pPr>
        <w:spacing w:line="50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（1）货物的现场安装、调试和/或启动监督；</w:t>
      </w:r>
    </w:p>
    <w:p w14:paraId="3681726F">
      <w:pPr>
        <w:spacing w:line="50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（2）就货物的安装、启动、运行及维护等对甲方人员进行免费培训。</w:t>
      </w:r>
    </w:p>
    <w:p w14:paraId="61DF9B1D">
      <w:pPr>
        <w:spacing w:line="50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3、除招标文件中的相关伴随服务或售后服务承诺外，双方还作如下约定：</w:t>
      </w:r>
    </w:p>
    <w:p w14:paraId="6AF457E7">
      <w:pPr>
        <w:spacing w:line="50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35727FF1">
      <w:pPr>
        <w:spacing w:line="50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（2）乙方提供</w:t>
      </w:r>
      <w:r>
        <w:rPr>
          <w:rFonts w:ascii="Times New Roman" w:hAnsi="Times New Roman"/>
          <w:color w:val="000000"/>
          <w:sz w:val="24"/>
          <w:highlight w:val="none"/>
          <w:u w:val="single"/>
        </w:rPr>
        <w:t xml:space="preserve">   </w:t>
      </w:r>
      <w:r>
        <w:rPr>
          <w:rFonts w:ascii="Times New Roman" w:hAnsi="Times New Roman"/>
          <w:color w:val="000000"/>
          <w:sz w:val="24"/>
          <w:highlight w:val="none"/>
        </w:rPr>
        <w:t>年免费质保（自验收合格之日起算）。保修期内，乙方负责对其提供的货物整机进行维修和系统维护，不再收取任何费用，但不可抗力（如火灾、雷击等）造成的故障除外。</w:t>
      </w:r>
    </w:p>
    <w:p w14:paraId="45E72AB5">
      <w:pPr>
        <w:spacing w:line="50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（3）如在使用过程中发生质量问题，乙方在4小时内予以回应，在质量保修期内设备发生故障</w:t>
      </w:r>
      <w:r>
        <w:rPr>
          <w:rFonts w:hint="eastAsia" w:ascii="Times New Roman" w:hAnsi="Times New Roman"/>
          <w:color w:val="000000"/>
          <w:sz w:val="24"/>
          <w:highlight w:val="none"/>
          <w:lang w:eastAsia="zh-CN"/>
        </w:rPr>
        <w:t>，</w:t>
      </w:r>
      <w:r>
        <w:rPr>
          <w:rFonts w:hint="eastAsia" w:ascii="Times New Roman" w:hAnsi="Times New Roman"/>
          <w:color w:val="000000"/>
          <w:sz w:val="24"/>
          <w:highlight w:val="none"/>
          <w:lang w:val="en-US" w:eastAsia="zh-CN"/>
        </w:rPr>
        <w:t>如甲方需要</w:t>
      </w:r>
      <w:r>
        <w:rPr>
          <w:rFonts w:hint="eastAsia" w:ascii="Times New Roman" w:hAnsi="Times New Roman"/>
          <w:color w:val="000000"/>
          <w:sz w:val="24"/>
          <w:highlight w:val="none"/>
          <w:lang w:eastAsia="zh-CN"/>
        </w:rPr>
        <w:t>，</w:t>
      </w:r>
      <w:r>
        <w:rPr>
          <w:rFonts w:hint="eastAsia" w:ascii="Times New Roman" w:hAnsi="Times New Roman"/>
          <w:color w:val="000000"/>
          <w:sz w:val="24"/>
          <w:highlight w:val="none"/>
          <w:lang w:val="en-US" w:eastAsia="zh-CN"/>
        </w:rPr>
        <w:t>应</w:t>
      </w:r>
      <w:r>
        <w:rPr>
          <w:rFonts w:ascii="Times New Roman" w:hAnsi="Times New Roman"/>
          <w:color w:val="000000"/>
          <w:sz w:val="24"/>
          <w:highlight w:val="none"/>
        </w:rPr>
        <w:t>在得到通知后24小时内派人到现场解决。</w:t>
      </w:r>
      <w:r>
        <w:rPr>
          <w:rFonts w:hint="eastAsia" w:ascii="宋体" w:hAnsi="宋体"/>
          <w:sz w:val="24"/>
          <w:szCs w:val="24"/>
          <w:highlight w:val="none"/>
        </w:rPr>
        <w:t>发生应急事件，</w:t>
      </w:r>
      <w:r>
        <w:rPr>
          <w:rFonts w:hint="eastAsia" w:ascii="宋体" w:hAnsi="宋体"/>
          <w:sz w:val="24"/>
          <w:szCs w:val="24"/>
          <w:highlight w:val="none"/>
          <w:lang w:val="en-US" w:eastAsia="zh-CN"/>
        </w:rPr>
        <w:t>乙方</w:t>
      </w:r>
      <w:r>
        <w:rPr>
          <w:rFonts w:hint="eastAsia" w:ascii="宋体" w:hAnsi="宋体"/>
          <w:sz w:val="24"/>
          <w:szCs w:val="24"/>
          <w:highlight w:val="none"/>
        </w:rPr>
        <w:t>应1</w:t>
      </w:r>
      <w:r>
        <w:rPr>
          <w:rFonts w:ascii="宋体" w:hAnsi="宋体"/>
          <w:sz w:val="24"/>
          <w:szCs w:val="24"/>
          <w:highlight w:val="none"/>
        </w:rPr>
        <w:t>0</w:t>
      </w:r>
      <w:r>
        <w:rPr>
          <w:rFonts w:hint="eastAsia" w:ascii="宋体" w:hAnsi="宋体"/>
          <w:sz w:val="24"/>
          <w:szCs w:val="24"/>
          <w:highlight w:val="none"/>
        </w:rPr>
        <w:t>分钟内响应，1小时内到达现场，2小时内给出合理的解决方案</w:t>
      </w:r>
      <w:r>
        <w:rPr>
          <w:rFonts w:hint="eastAsia"/>
          <w:highlight w:val="none"/>
          <w:lang w:eastAsia="zh-CN"/>
        </w:rPr>
        <w:t>。</w:t>
      </w:r>
    </w:p>
    <w:p w14:paraId="0A262D79">
      <w:pPr>
        <w:spacing w:line="50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w:t>
      </w:r>
      <w:r>
        <w:rPr>
          <w:rFonts w:hint="eastAsia" w:ascii="Times New Roman" w:hAnsi="Times New Roman"/>
          <w:color w:val="000000"/>
          <w:sz w:val="24"/>
          <w:highlight w:val="none"/>
        </w:rPr>
        <w:t>4</w:t>
      </w:r>
      <w:r>
        <w:rPr>
          <w:rFonts w:ascii="Times New Roman" w:hAnsi="Times New Roman"/>
          <w:color w:val="000000"/>
          <w:sz w:val="24"/>
          <w:highlight w:val="none"/>
        </w:rPr>
        <w:t>）在合同货物保修期内，如果由于乙方更换、修理和续补货物，而造成本合同货物不得不停止运行，货物保修期应依照停止运行的实际时间加以延长，如因此给甲方造成损失，乙方应负责赔偿。</w:t>
      </w:r>
    </w:p>
    <w:p w14:paraId="61FC498F">
      <w:pPr>
        <w:spacing w:line="50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w:t>
      </w:r>
      <w:r>
        <w:rPr>
          <w:rFonts w:hint="eastAsia" w:ascii="Times New Roman" w:hAnsi="Times New Roman"/>
          <w:color w:val="000000"/>
          <w:sz w:val="24"/>
          <w:highlight w:val="none"/>
        </w:rPr>
        <w:t>5</w:t>
      </w:r>
      <w:r>
        <w:rPr>
          <w:rFonts w:ascii="Times New Roman" w:hAnsi="Times New Roman"/>
          <w:color w:val="000000"/>
          <w:sz w:val="24"/>
          <w:highlight w:val="none"/>
        </w:rPr>
        <w:t>）</w:t>
      </w:r>
      <w:r>
        <w:rPr>
          <w:rFonts w:hint="eastAsia" w:ascii="宋体" w:hAnsi="宋体" w:cs="宋体"/>
          <w:sz w:val="24"/>
          <w:highlight w:val="none"/>
        </w:rPr>
        <w:t>质保期后，乙方应能长期及时按照本合同价格提供货物正常使用所需配件和耗材并提供配送服务</w:t>
      </w:r>
      <w:r>
        <w:rPr>
          <w:rFonts w:ascii="Times New Roman" w:hAnsi="Times New Roman"/>
          <w:color w:val="000000"/>
          <w:sz w:val="24"/>
          <w:highlight w:val="none"/>
        </w:rPr>
        <w:t>。</w:t>
      </w:r>
    </w:p>
    <w:p w14:paraId="50D16C47">
      <w:pPr>
        <w:spacing w:line="510" w:lineRule="exact"/>
        <w:ind w:firstLine="480" w:firstLineChars="20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6</w:t>
      </w:r>
      <w:r>
        <w:rPr>
          <w:rFonts w:hint="eastAsia" w:ascii="宋体" w:hAnsi="宋体" w:cs="宋体"/>
          <w:sz w:val="24"/>
          <w:highlight w:val="none"/>
        </w:rPr>
        <w:t>）乙方在甲方所在地设立维护服务站，并常年配备相应的售后服务人员，本地维护服务站的场地、设备、人员、备件运输、通信等费用均由乙方自行解决。</w:t>
      </w:r>
    </w:p>
    <w:p w14:paraId="75F86613">
      <w:pPr>
        <w:spacing w:line="510" w:lineRule="exact"/>
        <w:ind w:firstLine="480" w:firstLineChars="20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7</w:t>
      </w:r>
      <w:r>
        <w:rPr>
          <w:rFonts w:hint="eastAsia" w:ascii="宋体" w:hAnsi="宋体" w:cs="宋体"/>
          <w:sz w:val="24"/>
          <w:highlight w:val="none"/>
        </w:rPr>
        <w:t>）乙方向甲方提供价值合同总金额5%的维修备件（产权归乙方，甲方有使用权及分配权），维修备件的</w:t>
      </w:r>
      <w:r>
        <w:rPr>
          <w:rFonts w:ascii="宋体" w:hAnsi="宋体" w:cs="宋体"/>
          <w:sz w:val="24"/>
          <w:highlight w:val="none"/>
        </w:rPr>
        <w:t>具体品种及数量由</w:t>
      </w:r>
      <w:r>
        <w:rPr>
          <w:rFonts w:hint="eastAsia" w:ascii="宋体" w:hAnsi="宋体" w:cs="宋体"/>
          <w:sz w:val="24"/>
          <w:highlight w:val="none"/>
        </w:rPr>
        <w:t>甲</w:t>
      </w:r>
      <w:r>
        <w:rPr>
          <w:rFonts w:ascii="宋体" w:hAnsi="宋体" w:cs="宋体"/>
          <w:sz w:val="24"/>
          <w:highlight w:val="none"/>
        </w:rPr>
        <w:t>方根据实际需要提出要求</w:t>
      </w:r>
      <w:r>
        <w:rPr>
          <w:rFonts w:hint="eastAsia" w:ascii="宋体" w:hAnsi="宋体" w:cs="宋体"/>
          <w:sz w:val="24"/>
          <w:highlight w:val="none"/>
        </w:rPr>
        <w:t>。另外本地维修服务站还需备置一定数量的备件，确保维修和备件交换。乙方在合同签订</w:t>
      </w:r>
      <w:r>
        <w:rPr>
          <w:rFonts w:ascii="宋体" w:hAnsi="宋体" w:cs="宋体"/>
          <w:sz w:val="24"/>
          <w:highlight w:val="none"/>
        </w:rPr>
        <w:t>30</w:t>
      </w:r>
      <w:r>
        <w:rPr>
          <w:rFonts w:hint="eastAsia" w:ascii="宋体" w:hAnsi="宋体" w:cs="宋体"/>
          <w:sz w:val="24"/>
          <w:highlight w:val="none"/>
        </w:rPr>
        <w:t>日内完成备品备件交货。</w:t>
      </w:r>
    </w:p>
    <w:p w14:paraId="2F245AD1">
      <w:pPr>
        <w:spacing w:line="500" w:lineRule="exact"/>
        <w:ind w:firstLine="482" w:firstLineChars="200"/>
        <w:rPr>
          <w:rFonts w:ascii="Times New Roman" w:hAnsi="Times New Roman"/>
          <w:b/>
          <w:bCs/>
          <w:sz w:val="24"/>
          <w:highlight w:val="none"/>
        </w:rPr>
      </w:pPr>
      <w:r>
        <w:rPr>
          <w:rFonts w:ascii="Times New Roman" w:hAnsi="Times New Roman"/>
          <w:b/>
          <w:color w:val="000000"/>
          <w:sz w:val="24"/>
          <w:highlight w:val="none"/>
        </w:rPr>
        <w:t>第九条　</w:t>
      </w:r>
      <w:r>
        <w:rPr>
          <w:rFonts w:ascii="Times New Roman" w:hAnsi="Times New Roman"/>
          <w:b/>
          <w:bCs/>
          <w:sz w:val="24"/>
          <w:highlight w:val="none"/>
        </w:rPr>
        <w:t>调试和验收</w:t>
      </w:r>
    </w:p>
    <w:p w14:paraId="40CD7F54">
      <w:pPr>
        <w:spacing w:line="500" w:lineRule="exact"/>
        <w:ind w:firstLine="480" w:firstLineChars="200"/>
        <w:rPr>
          <w:rFonts w:ascii="Times New Roman" w:hAnsi="Times New Roman"/>
          <w:bCs/>
          <w:sz w:val="24"/>
          <w:highlight w:val="none"/>
        </w:rPr>
      </w:pPr>
      <w:r>
        <w:rPr>
          <w:rFonts w:ascii="Times New Roman" w:hAnsi="Times New Roman"/>
          <w:bCs/>
          <w:sz w:val="24"/>
          <w:highlight w:val="none"/>
        </w:rPr>
        <w:t>1、乙方需负责安装调试并培训甲方的使用操作人员，并协助甲方一起调试，直到符合技术要求，甲方才做最终验收。</w:t>
      </w:r>
    </w:p>
    <w:p w14:paraId="7989B78F">
      <w:pPr>
        <w:spacing w:line="540" w:lineRule="exact"/>
        <w:ind w:firstLine="480" w:firstLineChars="200"/>
        <w:rPr>
          <w:rFonts w:hAnsi="宋体"/>
          <w:bCs/>
          <w:sz w:val="24"/>
          <w:highlight w:val="none"/>
        </w:rPr>
      </w:pPr>
      <w:r>
        <w:rPr>
          <w:rFonts w:hAnsi="宋体"/>
          <w:bCs/>
          <w:sz w:val="24"/>
          <w:highlight w:val="none"/>
        </w:rPr>
        <w:t>2</w:t>
      </w:r>
      <w:r>
        <w:rPr>
          <w:rFonts w:hint="eastAsia" w:hAnsi="宋体"/>
          <w:bCs/>
          <w:sz w:val="24"/>
          <w:highlight w:val="none"/>
        </w:rPr>
        <w:t>、甲方对采购的产品</w:t>
      </w:r>
      <w:r>
        <w:rPr>
          <w:rFonts w:hint="eastAsia"/>
          <w:sz w:val="24"/>
          <w:szCs w:val="24"/>
          <w:highlight w:val="none"/>
        </w:rPr>
        <w:t>进行到货抽检，乙方配合甲方做好产品安装、调试、功能测试、性能测试后</w:t>
      </w:r>
      <w:r>
        <w:rPr>
          <w:sz w:val="24"/>
          <w:szCs w:val="24"/>
          <w:highlight w:val="none"/>
        </w:rPr>
        <w:t>10</w:t>
      </w:r>
      <w:r>
        <w:rPr>
          <w:rFonts w:hAnsi="宋体"/>
          <w:sz w:val="24"/>
          <w:szCs w:val="24"/>
          <w:highlight w:val="none"/>
        </w:rPr>
        <w:t>个工作日内</w:t>
      </w:r>
      <w:r>
        <w:rPr>
          <w:rFonts w:hint="eastAsia"/>
          <w:sz w:val="24"/>
          <w:szCs w:val="24"/>
          <w:highlight w:val="none"/>
        </w:rPr>
        <w:t>，由甲方进行使用性能方面的验收，填写终端机到货抽检记录表。</w:t>
      </w:r>
    </w:p>
    <w:p w14:paraId="782F135B">
      <w:pPr>
        <w:spacing w:line="520" w:lineRule="exact"/>
        <w:ind w:firstLine="482" w:firstLineChars="200"/>
        <w:rPr>
          <w:rFonts w:ascii="宋体" w:hAnsi="宋体" w:cs="宋体"/>
          <w:b/>
          <w:sz w:val="24"/>
          <w:highlight w:val="none"/>
        </w:rPr>
      </w:pPr>
      <w:r>
        <w:rPr>
          <w:rFonts w:hint="eastAsia" w:ascii="宋体" w:hAnsi="宋体" w:cs="宋体"/>
          <w:b/>
          <w:sz w:val="24"/>
          <w:highlight w:val="none"/>
        </w:rPr>
        <w:t>第十条 货款支付</w:t>
      </w:r>
    </w:p>
    <w:p w14:paraId="44A4D1D3">
      <w:pPr>
        <w:spacing w:line="482" w:lineRule="exact"/>
        <w:ind w:firstLine="480" w:firstLineChars="200"/>
        <w:rPr>
          <w:rFonts w:ascii="宋体" w:hAnsi="宋体" w:cs="宋体"/>
          <w:sz w:val="24"/>
          <w:highlight w:val="none"/>
        </w:rPr>
      </w:pPr>
      <w:r>
        <w:rPr>
          <w:rFonts w:hint="eastAsia" w:ascii="宋体" w:hAnsi="宋体" w:cs="宋体"/>
          <w:sz w:val="24"/>
          <w:highlight w:val="none"/>
        </w:rPr>
        <w:t>1、本合同所有款项均以人民币支付；</w:t>
      </w:r>
    </w:p>
    <w:p w14:paraId="2D41DC93">
      <w:pPr>
        <w:spacing w:line="520" w:lineRule="exact"/>
        <w:ind w:firstLine="480" w:firstLineChars="200"/>
        <w:rPr>
          <w:rFonts w:ascii="宋体" w:hAnsi="宋体" w:cs="宋体"/>
          <w:sz w:val="24"/>
          <w:highlight w:val="none"/>
        </w:rPr>
      </w:pPr>
      <w:r>
        <w:rPr>
          <w:rFonts w:hint="eastAsia" w:ascii="宋体" w:hAnsi="宋体" w:eastAsia="宋体" w:cs="宋体"/>
          <w:sz w:val="24"/>
          <w:highlight w:val="none"/>
        </w:rPr>
        <w:t>全部设备到货后，提交所需单据并经采购人验收合格后，采购人支付合同总价的50%；验收合格一个月后，采购人支付合同总价的</w:t>
      </w:r>
      <w:r>
        <w:rPr>
          <w:rFonts w:hint="eastAsia" w:ascii="宋体" w:hAnsi="宋体" w:eastAsia="宋体" w:cs="宋体"/>
          <w:sz w:val="24"/>
          <w:highlight w:val="none"/>
          <w:lang w:val="en-US" w:eastAsia="zh-CN"/>
        </w:rPr>
        <w:t>5</w:t>
      </w:r>
      <w:r>
        <w:rPr>
          <w:rFonts w:hint="eastAsia" w:ascii="宋体" w:hAnsi="宋体" w:eastAsia="宋体" w:cs="宋体"/>
          <w:sz w:val="24"/>
          <w:highlight w:val="none"/>
        </w:rPr>
        <w:t>0%（无息）。每次付款前，乙方须提供真实、合法发票。</w:t>
      </w:r>
    </w:p>
    <w:p w14:paraId="7C5EF224">
      <w:pPr>
        <w:spacing w:line="520" w:lineRule="exact"/>
        <w:ind w:firstLine="480" w:firstLineChars="200"/>
        <w:rPr>
          <w:rFonts w:ascii="宋体" w:hAnsi="宋体" w:cs="宋体"/>
          <w:sz w:val="24"/>
          <w:highlight w:val="none"/>
        </w:rPr>
      </w:pPr>
      <w:r>
        <w:rPr>
          <w:rFonts w:hint="eastAsia" w:ascii="宋体" w:hAnsi="宋体" w:cs="宋体"/>
          <w:sz w:val="24"/>
          <w:highlight w:val="none"/>
        </w:rPr>
        <w:t>2、如乙方根据本合同规定有责任向甲方支付违约金或其它赔偿时，甲方在书面通知乙方后，有权从上述付款中扣除该等款项。</w:t>
      </w:r>
    </w:p>
    <w:p w14:paraId="5D535C00">
      <w:pPr>
        <w:spacing w:line="520" w:lineRule="exact"/>
        <w:ind w:firstLine="480" w:firstLineChars="200"/>
        <w:rPr>
          <w:rFonts w:ascii="宋体" w:hAnsi="宋体" w:cs="宋体"/>
          <w:sz w:val="24"/>
          <w:highlight w:val="none"/>
          <w:u w:val="single"/>
        </w:rPr>
      </w:pPr>
      <w:r>
        <w:rPr>
          <w:rFonts w:hint="eastAsia" w:ascii="宋体" w:hAnsi="宋体" w:cs="宋体"/>
          <w:sz w:val="24"/>
          <w:highlight w:val="none"/>
        </w:rPr>
        <w:t>3、货款支付的账号：</w:t>
      </w:r>
      <w:r>
        <w:rPr>
          <w:rFonts w:hint="eastAsia" w:ascii="宋体" w:hAnsi="宋体" w:cs="宋体"/>
          <w:sz w:val="24"/>
          <w:highlight w:val="none"/>
          <w:u w:val="single"/>
        </w:rPr>
        <w:t xml:space="preserve">          </w:t>
      </w:r>
    </w:p>
    <w:p w14:paraId="1A4074B0">
      <w:pPr>
        <w:spacing w:line="520" w:lineRule="exact"/>
        <w:ind w:firstLine="1804" w:firstLineChars="752"/>
        <w:rPr>
          <w:rFonts w:ascii="宋体" w:hAnsi="宋体" w:cs="宋体"/>
          <w:sz w:val="24"/>
          <w:highlight w:val="none"/>
        </w:rPr>
      </w:pPr>
      <w:r>
        <w:rPr>
          <w:rFonts w:hint="eastAsia" w:ascii="宋体" w:hAnsi="宋体" w:cs="宋体"/>
          <w:sz w:val="24"/>
          <w:highlight w:val="none"/>
        </w:rPr>
        <w:t>开户行：</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14:paraId="42E28FCE">
      <w:pPr>
        <w:spacing w:line="520" w:lineRule="exact"/>
        <w:ind w:firstLine="1804" w:firstLineChars="752"/>
        <w:rPr>
          <w:rFonts w:ascii="宋体" w:hAnsi="宋体" w:cs="宋体"/>
          <w:sz w:val="24"/>
          <w:highlight w:val="none"/>
        </w:rPr>
      </w:pPr>
      <w:r>
        <w:rPr>
          <w:rFonts w:hint="eastAsia" w:ascii="宋体" w:hAnsi="宋体" w:cs="宋体"/>
          <w:sz w:val="24"/>
          <w:highlight w:val="none"/>
        </w:rPr>
        <w:t>户  名：</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14:paraId="308B7642">
      <w:pPr>
        <w:spacing w:line="520" w:lineRule="exact"/>
        <w:ind w:firstLine="482" w:firstLineChars="200"/>
        <w:rPr>
          <w:rFonts w:ascii="宋体" w:hAnsi="宋体" w:cs="宋体"/>
          <w:b/>
          <w:sz w:val="24"/>
          <w:highlight w:val="none"/>
        </w:rPr>
      </w:pPr>
      <w:r>
        <w:rPr>
          <w:rFonts w:hint="eastAsia" w:ascii="宋体" w:hAnsi="宋体" w:cs="宋体"/>
          <w:b/>
          <w:sz w:val="24"/>
          <w:highlight w:val="none"/>
        </w:rPr>
        <w:t>第十一条 违约责任</w:t>
      </w:r>
    </w:p>
    <w:p w14:paraId="39EBC5D4">
      <w:pPr>
        <w:spacing w:line="520" w:lineRule="exact"/>
        <w:ind w:firstLine="480" w:firstLineChars="200"/>
        <w:rPr>
          <w:rFonts w:ascii="Times New Roman" w:hAnsi="Times New Roman"/>
          <w:bCs/>
          <w:sz w:val="24"/>
          <w:highlight w:val="none"/>
        </w:rPr>
      </w:pPr>
      <w:r>
        <w:rPr>
          <w:rFonts w:hint="eastAsia" w:ascii="Times New Roman" w:hAnsi="Times New Roman"/>
          <w:bCs/>
          <w:sz w:val="24"/>
          <w:highlight w:val="none"/>
        </w:rPr>
        <w:t>1、甲方未按合同规定的期限向乙方支付货款的，每逾期</w:t>
      </w:r>
      <w:r>
        <w:rPr>
          <w:rFonts w:ascii="Times New Roman" w:hAnsi="Times New Roman"/>
          <w:bCs/>
          <w:sz w:val="24"/>
          <w:highlight w:val="none"/>
        </w:rPr>
        <w:t>1</w:t>
      </w:r>
      <w:r>
        <w:rPr>
          <w:rFonts w:hint="eastAsia" w:ascii="Times New Roman" w:hAnsi="Times New Roman"/>
          <w:bCs/>
          <w:sz w:val="24"/>
          <w:highlight w:val="none"/>
        </w:rPr>
        <w:t>天甲方向乙方偿付欠款总额的</w:t>
      </w:r>
      <w:r>
        <w:rPr>
          <w:rFonts w:ascii="Times New Roman" w:hAnsi="Times New Roman"/>
          <w:bCs/>
          <w:sz w:val="24"/>
          <w:highlight w:val="none"/>
        </w:rPr>
        <w:t>5</w:t>
      </w:r>
      <w:r>
        <w:rPr>
          <w:rFonts w:hint="eastAsia" w:ascii="Times New Roman" w:hAnsi="Times New Roman"/>
          <w:bCs/>
          <w:sz w:val="24"/>
          <w:highlight w:val="none"/>
        </w:rPr>
        <w:t>‰滞纳金，但累计滞纳金总额不超过欠款总额的</w:t>
      </w:r>
      <w:r>
        <w:rPr>
          <w:rFonts w:ascii="Times New Roman" w:hAnsi="Times New Roman"/>
          <w:bCs/>
          <w:sz w:val="24"/>
          <w:highlight w:val="none"/>
        </w:rPr>
        <w:t>5%</w:t>
      </w:r>
      <w:r>
        <w:rPr>
          <w:rFonts w:hint="eastAsia" w:ascii="Times New Roman" w:hAnsi="Times New Roman"/>
          <w:bCs/>
          <w:sz w:val="24"/>
          <w:highlight w:val="none"/>
        </w:rPr>
        <w:t>。</w:t>
      </w:r>
    </w:p>
    <w:p w14:paraId="4A185007">
      <w:pPr>
        <w:spacing w:line="520" w:lineRule="exact"/>
        <w:ind w:firstLine="480" w:firstLineChars="200"/>
        <w:rPr>
          <w:rFonts w:ascii="Times New Roman" w:hAnsi="Times New Roman"/>
          <w:bCs/>
          <w:sz w:val="24"/>
          <w:highlight w:val="none"/>
        </w:rPr>
      </w:pPr>
      <w:r>
        <w:rPr>
          <w:rFonts w:hint="eastAsia" w:ascii="Times New Roman" w:hAnsi="Times New Roman"/>
          <w:bCs/>
          <w:sz w:val="24"/>
          <w:highlight w:val="none"/>
        </w:rPr>
        <w:t>2、</w:t>
      </w:r>
      <w:r>
        <w:rPr>
          <w:rFonts w:ascii="Times New Roman" w:hAnsi="Times New Roman"/>
          <w:bCs/>
          <w:sz w:val="24"/>
          <w:highlight w:val="none"/>
        </w:rPr>
        <w:t>如乙方不能交付货物，乙方应向甲方支付合同总价5%的违约金，造成其他损失的，应该承担相应的损失</w:t>
      </w:r>
      <w:r>
        <w:rPr>
          <w:rFonts w:hint="eastAsia" w:ascii="Times New Roman" w:hAnsi="Times New Roman"/>
          <w:bCs/>
          <w:sz w:val="24"/>
          <w:highlight w:val="none"/>
        </w:rPr>
        <w:t>。</w:t>
      </w:r>
    </w:p>
    <w:p w14:paraId="11836FAF">
      <w:pPr>
        <w:spacing w:line="520" w:lineRule="exact"/>
        <w:ind w:firstLine="480" w:firstLineChars="200"/>
        <w:rPr>
          <w:rFonts w:ascii="Times New Roman" w:hAnsi="Times New Roman"/>
          <w:bCs/>
          <w:sz w:val="24"/>
          <w:highlight w:val="none"/>
        </w:rPr>
      </w:pPr>
      <w:r>
        <w:rPr>
          <w:rFonts w:hint="eastAsia" w:ascii="Times New Roman" w:hAnsi="Times New Roman"/>
          <w:bCs/>
          <w:sz w:val="24"/>
          <w:highlight w:val="none"/>
        </w:rPr>
        <w:t>3、乙方逾期交付货物的，每逾期1天，乙方向甲方偿付逾期交货部分货款总额5%的滞纳金。如乙方逾期交货达（10）天，甲方有权解除合同，解除合同的通知自到达乙方时生效。</w:t>
      </w:r>
      <w:r>
        <w:rPr>
          <w:rFonts w:ascii="Times New Roman" w:hAnsi="Times New Roman"/>
          <w:bCs/>
          <w:sz w:val="24"/>
          <w:highlight w:val="none"/>
        </w:rPr>
        <w:t xml:space="preserve">乙方因逾期交货或因其他违约行为导致甲方解除合同的，乙方应向甲方支付合同总值5%的违约金，如造成甲方损失超过违约金的，超出部分由乙方继续承担赔偿责任。 </w:t>
      </w:r>
    </w:p>
    <w:p w14:paraId="35E8FCFF">
      <w:pPr>
        <w:spacing w:line="520" w:lineRule="exact"/>
        <w:ind w:firstLine="480" w:firstLineChars="200"/>
        <w:rPr>
          <w:rFonts w:ascii="Times New Roman" w:hAnsi="Times New Roman"/>
          <w:bCs/>
          <w:sz w:val="24"/>
          <w:highlight w:val="none"/>
        </w:rPr>
      </w:pPr>
      <w:r>
        <w:rPr>
          <w:rFonts w:hint="eastAsia" w:ascii="Times New Roman" w:hAnsi="Times New Roman"/>
          <w:bCs/>
          <w:sz w:val="24"/>
          <w:highlight w:val="none"/>
        </w:rPr>
        <w:t>4、</w:t>
      </w:r>
      <w:r>
        <w:rPr>
          <w:rFonts w:ascii="Times New Roman" w:hAnsi="Times New Roman"/>
          <w:bCs/>
          <w:sz w:val="24"/>
          <w:highlight w:val="none"/>
        </w:rPr>
        <w:t>乙方所交的货物品种、型号、规格、技术参数、质量不符合合同规定及</w:t>
      </w:r>
      <w:r>
        <w:rPr>
          <w:rFonts w:hint="eastAsia" w:ascii="宋体" w:hAnsi="宋体" w:cs="宋体"/>
          <w:sz w:val="24"/>
          <w:highlight w:val="none"/>
        </w:rPr>
        <w:t>采购</w:t>
      </w:r>
      <w:r>
        <w:rPr>
          <w:rFonts w:ascii="Times New Roman" w:hAnsi="Times New Roman"/>
          <w:bCs/>
          <w:sz w:val="24"/>
          <w:highlight w:val="none"/>
        </w:rPr>
        <w:t>文件规定标准的，甲方有权</w:t>
      </w:r>
      <w:r>
        <w:rPr>
          <w:rFonts w:hint="eastAsia" w:ascii="Times New Roman" w:hAnsi="Times New Roman"/>
          <w:bCs/>
          <w:sz w:val="24"/>
          <w:highlight w:val="none"/>
        </w:rPr>
        <w:t>要求</w:t>
      </w:r>
      <w:r>
        <w:rPr>
          <w:rFonts w:ascii="Times New Roman" w:hAnsi="Times New Roman"/>
          <w:bCs/>
          <w:sz w:val="24"/>
          <w:highlight w:val="none"/>
        </w:rPr>
        <w:t>乙方更换货物</w:t>
      </w:r>
      <w:r>
        <w:rPr>
          <w:rFonts w:hint="eastAsia" w:ascii="Times New Roman" w:hAnsi="Times New Roman"/>
          <w:bCs/>
          <w:sz w:val="24"/>
          <w:highlight w:val="none"/>
        </w:rPr>
        <w:t>。因此造成逾期交货的，</w:t>
      </w:r>
      <w:r>
        <w:rPr>
          <w:rFonts w:ascii="Times New Roman" w:hAnsi="Times New Roman"/>
          <w:bCs/>
          <w:sz w:val="24"/>
          <w:highlight w:val="none"/>
        </w:rPr>
        <w:t>按乙方逾期交货处理。乙方拒绝更换货物的，甲方可单方面解除合同</w:t>
      </w:r>
      <w:r>
        <w:rPr>
          <w:rFonts w:hint="eastAsia" w:ascii="Times New Roman" w:hAnsi="Times New Roman"/>
          <w:bCs/>
          <w:sz w:val="24"/>
          <w:highlight w:val="none"/>
        </w:rPr>
        <w:t>，因此产生的一切费用由乙方承担。</w:t>
      </w:r>
    </w:p>
    <w:p w14:paraId="02D0F9E9">
      <w:pPr>
        <w:spacing w:line="520" w:lineRule="exact"/>
        <w:ind w:firstLine="480" w:firstLineChars="200"/>
        <w:rPr>
          <w:rFonts w:ascii="Times New Roman" w:hAnsi="Times New Roman"/>
          <w:bCs/>
          <w:sz w:val="24"/>
          <w:highlight w:val="none"/>
        </w:rPr>
      </w:pPr>
      <w:r>
        <w:rPr>
          <w:rFonts w:hint="eastAsia" w:ascii="Times New Roman" w:hAnsi="Times New Roman"/>
          <w:bCs/>
          <w:sz w:val="24"/>
          <w:highlight w:val="none"/>
        </w:rPr>
        <w:t>5、在乙方承诺的或国家规定的质量保证期内（取两者中最长的期限），如经乙方两次维修或更换，货物仍不能达到合同约定的质量标准，甲方有权退货，乙方应退回全部货款，并按第2款处理，同时，乙方还须赔偿甲方因此遭受的损失。</w:t>
      </w:r>
    </w:p>
    <w:p w14:paraId="4E9F42E5">
      <w:pPr>
        <w:spacing w:line="520" w:lineRule="exact"/>
        <w:ind w:firstLine="480" w:firstLineChars="200"/>
        <w:rPr>
          <w:rFonts w:ascii="Times New Roman" w:hAnsi="Times New Roman"/>
          <w:bCs/>
          <w:sz w:val="24"/>
          <w:highlight w:val="none"/>
        </w:rPr>
      </w:pPr>
      <w:r>
        <w:rPr>
          <w:rFonts w:ascii="Times New Roman" w:hAnsi="Times New Roman"/>
          <w:bCs/>
          <w:sz w:val="24"/>
          <w:highlight w:val="none"/>
        </w:rPr>
        <w:t>6</w:t>
      </w:r>
      <w:r>
        <w:rPr>
          <w:rFonts w:hint="eastAsia" w:ascii="Times New Roman" w:hAnsi="Times New Roman"/>
          <w:bCs/>
          <w:sz w:val="24"/>
          <w:highlight w:val="none"/>
        </w:rPr>
        <w:t>、乙方在承担上述2-6款一项或多项违约责任后，仍应继续履行合同规定的义务（甲方解除合同的除外）。甲方未能及时追究乙方的任何一项违约责任并不表明甲方放弃追究乙方该项或其他违约责任。</w:t>
      </w:r>
    </w:p>
    <w:p w14:paraId="7F9EB40C">
      <w:pPr>
        <w:spacing w:line="520" w:lineRule="exact"/>
        <w:ind w:firstLine="482" w:firstLineChars="200"/>
        <w:rPr>
          <w:rFonts w:hint="eastAsia" w:ascii="宋体" w:hAnsi="宋体" w:cs="宋体"/>
          <w:b/>
          <w:sz w:val="24"/>
          <w:highlight w:val="none"/>
        </w:rPr>
      </w:pPr>
      <w:r>
        <w:rPr>
          <w:rFonts w:hint="eastAsia" w:ascii="宋体" w:hAnsi="宋体" w:cs="宋体"/>
          <w:b/>
          <w:sz w:val="24"/>
          <w:highlight w:val="none"/>
          <w:lang w:val="en-US" w:eastAsia="zh-CN"/>
        </w:rPr>
        <w:t>第</w:t>
      </w:r>
      <w:r>
        <w:rPr>
          <w:rFonts w:hint="eastAsia" w:ascii="宋体" w:hAnsi="宋体" w:cs="宋体"/>
          <w:b/>
          <w:sz w:val="24"/>
          <w:highlight w:val="none"/>
        </w:rPr>
        <w:t>十</w:t>
      </w:r>
      <w:r>
        <w:rPr>
          <w:rFonts w:hint="eastAsia" w:ascii="宋体" w:hAnsi="宋体" w:cs="宋体"/>
          <w:b/>
          <w:sz w:val="24"/>
          <w:highlight w:val="none"/>
          <w:lang w:val="en-US" w:eastAsia="zh-CN"/>
        </w:rPr>
        <w:t>二条</w:t>
      </w:r>
      <w:r>
        <w:rPr>
          <w:rFonts w:hint="eastAsia" w:ascii="宋体" w:hAnsi="宋体" w:cs="宋体"/>
          <w:b/>
          <w:sz w:val="24"/>
          <w:highlight w:val="none"/>
        </w:rPr>
        <w:t>、廉洁条款</w:t>
      </w:r>
    </w:p>
    <w:p w14:paraId="2FC2F1F6">
      <w:pPr>
        <w:spacing w:line="520" w:lineRule="exact"/>
        <w:ind w:firstLine="482" w:firstLineChars="200"/>
        <w:rPr>
          <w:rFonts w:hint="eastAsia" w:ascii="宋体" w:hAnsi="宋体" w:cs="宋体"/>
          <w:b/>
          <w:sz w:val="24"/>
          <w:highlight w:val="none"/>
        </w:rPr>
      </w:pPr>
      <w:r>
        <w:rPr>
          <w:rFonts w:hint="eastAsia" w:ascii="宋体" w:hAnsi="宋体" w:cs="宋体"/>
          <w:b/>
          <w:sz w:val="24"/>
          <w:highlight w:val="none"/>
        </w:rPr>
        <w:t xml:space="preserve">双方在签订和履行本合同过程中，应当自觉遵守法律法规、商业道德及廉洁自律规定，恪守职业道德规范，开展正常商业交易活动，抵制商业贿赂行为。乙方不得从事有损履约的行为，不得邀请甲方人员参加有可能影响正常商业交易活动的宴请、娱乐以及旅游等活动，不得向甲方人员提供礼、金或其它利益等。甲方如发现乙方有违反本条款规定的行为，甲方有权要求乙方支付本合同总额15%的违约金并赔偿损失，有权解除本合同，并有权限制或取消乙方参与甲方今后业务活动的资格和机会。 </w:t>
      </w:r>
    </w:p>
    <w:p w14:paraId="345ADE33">
      <w:pPr>
        <w:spacing w:line="520" w:lineRule="exact"/>
        <w:ind w:firstLine="482" w:firstLineChars="200"/>
        <w:rPr>
          <w:rFonts w:hint="eastAsia" w:ascii="宋体" w:hAnsi="宋体" w:cs="宋体"/>
          <w:b/>
          <w:sz w:val="24"/>
          <w:highlight w:val="none"/>
        </w:rPr>
      </w:pPr>
      <w:r>
        <w:rPr>
          <w:rFonts w:hint="eastAsia" w:ascii="宋体" w:hAnsi="宋体" w:cs="宋体"/>
          <w:b/>
          <w:sz w:val="24"/>
          <w:highlight w:val="none"/>
        </w:rPr>
        <w:t>甲方有权对乙方履行本合同的情况进行审计和监督，乙方负有协助义务，并保证提供的资料和信息真实、完整、准确。</w:t>
      </w:r>
    </w:p>
    <w:p w14:paraId="5CC083ED">
      <w:pPr>
        <w:spacing w:line="520" w:lineRule="exact"/>
        <w:ind w:firstLine="482" w:firstLineChars="200"/>
        <w:rPr>
          <w:rFonts w:ascii="宋体" w:hAnsi="宋体" w:cs="宋体"/>
          <w:b/>
          <w:sz w:val="24"/>
          <w:highlight w:val="none"/>
        </w:rPr>
      </w:pPr>
      <w:r>
        <w:rPr>
          <w:rFonts w:hint="eastAsia" w:ascii="宋体" w:hAnsi="宋体" w:cs="宋体"/>
          <w:b/>
          <w:sz w:val="24"/>
          <w:highlight w:val="none"/>
        </w:rPr>
        <w:t>第十</w:t>
      </w:r>
      <w:r>
        <w:rPr>
          <w:rFonts w:hint="eastAsia" w:ascii="宋体" w:hAnsi="宋体" w:cs="宋体"/>
          <w:b/>
          <w:sz w:val="24"/>
          <w:highlight w:val="none"/>
          <w:lang w:val="en-US" w:eastAsia="zh-CN"/>
        </w:rPr>
        <w:t>三</w:t>
      </w:r>
      <w:r>
        <w:rPr>
          <w:rFonts w:hint="eastAsia" w:ascii="宋体" w:hAnsi="宋体" w:cs="宋体"/>
          <w:b/>
          <w:sz w:val="24"/>
          <w:highlight w:val="none"/>
        </w:rPr>
        <w:t>条合同的变更和终止</w:t>
      </w:r>
    </w:p>
    <w:p w14:paraId="4949B276">
      <w:pPr>
        <w:spacing w:line="520" w:lineRule="exact"/>
        <w:ind w:firstLine="480" w:firstLineChars="200"/>
        <w:rPr>
          <w:rFonts w:ascii="Times New Roman" w:hAnsi="Times New Roman"/>
          <w:bCs/>
          <w:sz w:val="24"/>
          <w:highlight w:val="none"/>
        </w:rPr>
      </w:pPr>
      <w:r>
        <w:rPr>
          <w:rFonts w:hint="eastAsia" w:ascii="Times New Roman" w:hAnsi="Times New Roman"/>
          <w:bCs/>
          <w:sz w:val="24"/>
          <w:highlight w:val="none"/>
        </w:rPr>
        <w:t>除《政府采购法》第</w:t>
      </w:r>
      <w:r>
        <w:rPr>
          <w:rFonts w:ascii="Times New Roman" w:hAnsi="Times New Roman"/>
          <w:bCs/>
          <w:sz w:val="24"/>
          <w:highlight w:val="none"/>
        </w:rPr>
        <w:t>49</w:t>
      </w:r>
      <w:r>
        <w:rPr>
          <w:rFonts w:hint="eastAsia" w:ascii="Times New Roman" w:hAnsi="Times New Roman"/>
          <w:bCs/>
          <w:sz w:val="24"/>
          <w:highlight w:val="none"/>
        </w:rPr>
        <w:t>条、第</w:t>
      </w:r>
      <w:r>
        <w:rPr>
          <w:rFonts w:ascii="Times New Roman" w:hAnsi="Times New Roman"/>
          <w:bCs/>
          <w:sz w:val="24"/>
          <w:highlight w:val="none"/>
        </w:rPr>
        <w:t>50</w:t>
      </w:r>
      <w:r>
        <w:rPr>
          <w:rFonts w:hint="eastAsia" w:ascii="Times New Roman" w:hAnsi="Times New Roman"/>
          <w:bCs/>
          <w:sz w:val="24"/>
          <w:highlight w:val="none"/>
        </w:rPr>
        <w:t>条第二款规定的情形外，本合同一经签订，双方当事人不得擅自变更、中止或终止合同。</w:t>
      </w:r>
    </w:p>
    <w:p w14:paraId="4B02D2FB">
      <w:pPr>
        <w:spacing w:line="520" w:lineRule="exact"/>
        <w:ind w:firstLine="482" w:firstLineChars="200"/>
        <w:rPr>
          <w:rFonts w:ascii="宋体" w:hAnsi="宋体" w:cs="宋体"/>
          <w:b/>
          <w:sz w:val="24"/>
          <w:highlight w:val="none"/>
        </w:rPr>
      </w:pPr>
      <w:r>
        <w:rPr>
          <w:rFonts w:hint="eastAsia" w:ascii="宋体" w:hAnsi="宋体" w:cs="宋体"/>
          <w:b/>
          <w:sz w:val="24"/>
          <w:highlight w:val="none"/>
        </w:rPr>
        <w:t>第十</w:t>
      </w:r>
      <w:r>
        <w:rPr>
          <w:rFonts w:hint="eastAsia" w:ascii="宋体" w:hAnsi="宋体" w:cs="宋体"/>
          <w:b/>
          <w:sz w:val="24"/>
          <w:highlight w:val="none"/>
          <w:lang w:val="en-US" w:eastAsia="zh-CN"/>
        </w:rPr>
        <w:t>四</w:t>
      </w:r>
      <w:r>
        <w:rPr>
          <w:rFonts w:hint="eastAsia" w:ascii="宋体" w:hAnsi="宋体" w:cs="宋体"/>
          <w:b/>
          <w:sz w:val="24"/>
          <w:highlight w:val="none"/>
        </w:rPr>
        <w:t>条 合同的转让</w:t>
      </w:r>
    </w:p>
    <w:p w14:paraId="57DE05EC">
      <w:pPr>
        <w:spacing w:line="520" w:lineRule="exact"/>
        <w:ind w:firstLine="480" w:firstLineChars="200"/>
        <w:rPr>
          <w:rFonts w:ascii="Times New Roman" w:hAnsi="Times New Roman"/>
          <w:bCs/>
          <w:sz w:val="24"/>
          <w:highlight w:val="none"/>
        </w:rPr>
      </w:pPr>
      <w:r>
        <w:rPr>
          <w:rFonts w:hint="eastAsia" w:ascii="Times New Roman" w:hAnsi="Times New Roman"/>
          <w:bCs/>
          <w:sz w:val="24"/>
          <w:highlight w:val="none"/>
        </w:rPr>
        <w:t>乙方不得擅自部分或全部转让其应履行的合同义务。</w:t>
      </w:r>
    </w:p>
    <w:p w14:paraId="1E42CB40">
      <w:pPr>
        <w:spacing w:line="520" w:lineRule="exact"/>
        <w:ind w:firstLine="482" w:firstLineChars="200"/>
        <w:rPr>
          <w:rFonts w:ascii="宋体" w:hAnsi="宋体" w:cs="宋体"/>
          <w:b/>
          <w:sz w:val="24"/>
          <w:highlight w:val="none"/>
        </w:rPr>
      </w:pPr>
      <w:r>
        <w:rPr>
          <w:rFonts w:hint="eastAsia" w:ascii="宋体" w:hAnsi="宋体" w:cs="宋体"/>
          <w:b/>
          <w:sz w:val="24"/>
          <w:highlight w:val="none"/>
        </w:rPr>
        <w:t>第十</w:t>
      </w:r>
      <w:r>
        <w:rPr>
          <w:rFonts w:hint="eastAsia" w:ascii="宋体" w:hAnsi="宋体" w:cs="宋体"/>
          <w:b/>
          <w:sz w:val="24"/>
          <w:highlight w:val="none"/>
          <w:lang w:val="en-US" w:eastAsia="zh-CN"/>
        </w:rPr>
        <w:t>五</w:t>
      </w:r>
      <w:r>
        <w:rPr>
          <w:rFonts w:hint="eastAsia" w:ascii="宋体" w:hAnsi="宋体" w:cs="宋体"/>
          <w:b/>
          <w:sz w:val="24"/>
          <w:highlight w:val="none"/>
        </w:rPr>
        <w:t xml:space="preserve">条 </w:t>
      </w:r>
      <w:r>
        <w:rPr>
          <w:rFonts w:ascii="宋体" w:hAnsi="宋体" w:cs="宋体"/>
          <w:b/>
          <w:sz w:val="24"/>
          <w:highlight w:val="none"/>
        </w:rPr>
        <w:t>不可抗力事件处理</w:t>
      </w:r>
    </w:p>
    <w:p w14:paraId="68877FCD">
      <w:pPr>
        <w:spacing w:line="520" w:lineRule="exact"/>
        <w:ind w:firstLine="480" w:firstLineChars="200"/>
        <w:rPr>
          <w:rFonts w:ascii="Times New Roman" w:hAnsi="Times New Roman"/>
          <w:bCs/>
          <w:sz w:val="24"/>
          <w:highlight w:val="none"/>
        </w:rPr>
      </w:pPr>
      <w:r>
        <w:rPr>
          <w:rFonts w:hint="eastAsia" w:ascii="Times New Roman" w:hAnsi="Times New Roman"/>
          <w:bCs/>
          <w:sz w:val="24"/>
          <w:highlight w:val="none"/>
        </w:rPr>
        <w:t>1、</w:t>
      </w:r>
      <w:r>
        <w:rPr>
          <w:rFonts w:ascii="Times New Roman" w:hAnsi="Times New Roman"/>
          <w:bCs/>
          <w:sz w:val="24"/>
          <w:highlight w:val="none"/>
        </w:rPr>
        <w:t xml:space="preserve"> 在合同有效期内，任何一方因不可抗力事件导致不能履行合同，则合同履行期可延长，其延长期与不可抗力影响期相同。</w:t>
      </w:r>
    </w:p>
    <w:p w14:paraId="38FB8377">
      <w:pPr>
        <w:spacing w:line="520" w:lineRule="exact"/>
        <w:ind w:firstLine="480" w:firstLineChars="200"/>
        <w:rPr>
          <w:rFonts w:ascii="Times New Roman" w:hAnsi="Times New Roman"/>
          <w:bCs/>
          <w:sz w:val="24"/>
          <w:highlight w:val="none"/>
        </w:rPr>
      </w:pPr>
      <w:r>
        <w:rPr>
          <w:rFonts w:hint="eastAsia" w:ascii="Times New Roman" w:hAnsi="Times New Roman"/>
          <w:bCs/>
          <w:sz w:val="24"/>
          <w:highlight w:val="none"/>
        </w:rPr>
        <w:t>2、</w:t>
      </w:r>
      <w:r>
        <w:rPr>
          <w:rFonts w:ascii="Times New Roman" w:hAnsi="Times New Roman"/>
          <w:bCs/>
          <w:sz w:val="24"/>
          <w:highlight w:val="none"/>
        </w:rPr>
        <w:t xml:space="preserve"> 不可抗力事件发生后，应立即通知对方，并寄送有关权威机构出具的证明。</w:t>
      </w:r>
    </w:p>
    <w:p w14:paraId="114FCA69">
      <w:pPr>
        <w:spacing w:line="520" w:lineRule="exact"/>
        <w:ind w:firstLine="480" w:firstLineChars="200"/>
        <w:rPr>
          <w:rFonts w:ascii="Times New Roman" w:hAnsi="Times New Roman"/>
          <w:bCs/>
          <w:sz w:val="24"/>
          <w:highlight w:val="none"/>
        </w:rPr>
      </w:pPr>
      <w:r>
        <w:rPr>
          <w:rFonts w:hint="eastAsia" w:ascii="Times New Roman" w:hAnsi="Times New Roman"/>
          <w:bCs/>
          <w:sz w:val="24"/>
          <w:highlight w:val="none"/>
        </w:rPr>
        <w:t>3、</w:t>
      </w:r>
      <w:r>
        <w:rPr>
          <w:rFonts w:ascii="Times New Roman" w:hAnsi="Times New Roman"/>
          <w:bCs/>
          <w:sz w:val="24"/>
          <w:highlight w:val="none"/>
        </w:rPr>
        <w:t xml:space="preserve"> 不可抗力事件延续120天以上，双方应通过友好协商，确定是否继续履行合同。</w:t>
      </w:r>
    </w:p>
    <w:p w14:paraId="69339914">
      <w:pPr>
        <w:spacing w:line="520" w:lineRule="exact"/>
        <w:ind w:firstLine="482" w:firstLineChars="200"/>
        <w:rPr>
          <w:rFonts w:ascii="宋体" w:hAnsi="宋体" w:cs="宋体"/>
          <w:b/>
          <w:sz w:val="24"/>
          <w:highlight w:val="none"/>
        </w:rPr>
      </w:pPr>
      <w:r>
        <w:rPr>
          <w:rFonts w:hint="eastAsia" w:ascii="宋体" w:hAnsi="宋体" w:cs="宋体"/>
          <w:b/>
          <w:sz w:val="24"/>
          <w:highlight w:val="none"/>
        </w:rPr>
        <w:t>第十</w:t>
      </w:r>
      <w:r>
        <w:rPr>
          <w:rFonts w:hint="eastAsia" w:ascii="宋体" w:hAnsi="宋体" w:cs="宋体"/>
          <w:b/>
          <w:sz w:val="24"/>
          <w:highlight w:val="none"/>
          <w:lang w:val="en-US" w:eastAsia="zh-CN"/>
        </w:rPr>
        <w:t>六</w:t>
      </w:r>
      <w:r>
        <w:rPr>
          <w:rFonts w:hint="eastAsia" w:ascii="宋体" w:hAnsi="宋体" w:cs="宋体"/>
          <w:b/>
          <w:sz w:val="24"/>
          <w:highlight w:val="none"/>
        </w:rPr>
        <w:t>条 争议的解决</w:t>
      </w:r>
    </w:p>
    <w:p w14:paraId="6FCE13A6">
      <w:pPr>
        <w:spacing w:line="520" w:lineRule="exact"/>
        <w:ind w:firstLine="480" w:firstLineChars="200"/>
        <w:rPr>
          <w:rFonts w:ascii="Times New Roman" w:hAnsi="Times New Roman"/>
          <w:bCs/>
          <w:sz w:val="24"/>
          <w:highlight w:val="none"/>
        </w:rPr>
      </w:pPr>
      <w:r>
        <w:rPr>
          <w:rFonts w:hint="eastAsia" w:ascii="Times New Roman" w:hAnsi="Times New Roman"/>
          <w:bCs/>
          <w:sz w:val="24"/>
          <w:highlight w:val="none"/>
        </w:rPr>
        <w:t>1、因货物的质量问题发生争议的，应当邀请国家认可的质量检测机构对货物质量进行鉴定，鉴定费用由乙方先行垫付。货物符合标准的，鉴定费用由甲方承担；货物不符合质量标准的，鉴定费由乙方承担。</w:t>
      </w:r>
    </w:p>
    <w:p w14:paraId="1736B983">
      <w:pPr>
        <w:spacing w:line="520" w:lineRule="exact"/>
        <w:ind w:firstLine="480" w:firstLineChars="200"/>
        <w:rPr>
          <w:rFonts w:ascii="Times New Roman" w:hAnsi="Times New Roman"/>
          <w:bCs/>
          <w:sz w:val="24"/>
          <w:highlight w:val="none"/>
        </w:rPr>
      </w:pPr>
      <w:r>
        <w:rPr>
          <w:rFonts w:hint="eastAsia" w:ascii="Times New Roman" w:hAnsi="Times New Roman"/>
          <w:bCs/>
          <w:sz w:val="24"/>
          <w:highlight w:val="none"/>
        </w:rPr>
        <w:t>2、因履行本合同引起的或与本合同有关的争议，甲、乙双方应首先通过友好协商解决，如果协商不能解决争议，向甲方所在地有管辖权的人民法院提起诉讼。</w:t>
      </w:r>
    </w:p>
    <w:p w14:paraId="79E1822C">
      <w:pPr>
        <w:spacing w:line="520" w:lineRule="exact"/>
        <w:ind w:firstLine="482" w:firstLineChars="200"/>
        <w:rPr>
          <w:rFonts w:ascii="宋体" w:hAnsi="宋体" w:cs="宋体"/>
          <w:b/>
          <w:sz w:val="24"/>
          <w:highlight w:val="none"/>
        </w:rPr>
      </w:pPr>
      <w:r>
        <w:rPr>
          <w:rFonts w:hint="eastAsia" w:ascii="宋体" w:hAnsi="宋体" w:cs="宋体"/>
          <w:b/>
          <w:sz w:val="24"/>
          <w:highlight w:val="none"/>
        </w:rPr>
        <w:t>第十</w:t>
      </w:r>
      <w:r>
        <w:rPr>
          <w:rFonts w:hint="eastAsia" w:ascii="宋体" w:hAnsi="宋体" w:cs="宋体"/>
          <w:b/>
          <w:sz w:val="24"/>
          <w:highlight w:val="none"/>
          <w:lang w:val="en-US" w:eastAsia="zh-CN"/>
        </w:rPr>
        <w:t>七</w:t>
      </w:r>
      <w:r>
        <w:rPr>
          <w:rFonts w:hint="eastAsia" w:ascii="宋体" w:hAnsi="宋体" w:cs="宋体"/>
          <w:b/>
          <w:sz w:val="24"/>
          <w:highlight w:val="none"/>
        </w:rPr>
        <w:t>条 合同生效及其他</w:t>
      </w:r>
    </w:p>
    <w:p w14:paraId="2D0A1637">
      <w:pPr>
        <w:spacing w:line="52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1、</w:t>
      </w:r>
      <w:r>
        <w:rPr>
          <w:rFonts w:ascii="Times New Roman" w:hAnsi="Times New Roman"/>
          <w:bCs/>
          <w:sz w:val="24"/>
          <w:highlight w:val="none"/>
        </w:rPr>
        <w:t>本合同自甲乙双方签字盖章（公章或合同专用章）后生效。</w:t>
      </w:r>
    </w:p>
    <w:p w14:paraId="63CFCEC4">
      <w:pPr>
        <w:spacing w:line="52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2</w:t>
      </w:r>
      <w:r>
        <w:rPr>
          <w:rFonts w:hint="eastAsia" w:ascii="Times New Roman" w:hAnsi="Times New Roman"/>
          <w:color w:val="000000"/>
          <w:sz w:val="24"/>
          <w:highlight w:val="none"/>
        </w:rPr>
        <w:t>、本合同一式六份，具有同等法律效力，甲方执四份、乙方执二份。</w:t>
      </w:r>
    </w:p>
    <w:p w14:paraId="79273575">
      <w:pPr>
        <w:spacing w:line="52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3、江苏省体育装备中心为甲方的采购代理机构，根据甲方的授权依法确定乙方为中标</w:t>
      </w:r>
      <w:r>
        <w:rPr>
          <w:rFonts w:ascii="Times New Roman" w:hAnsi="Times New Roman"/>
          <w:bCs/>
          <w:sz w:val="24"/>
          <w:highlight w:val="none"/>
        </w:rPr>
        <w:t>供应商</w:t>
      </w:r>
      <w:r>
        <w:rPr>
          <w:rFonts w:ascii="Times New Roman" w:hAnsi="Times New Roman"/>
          <w:color w:val="000000"/>
          <w:sz w:val="24"/>
          <w:highlight w:val="none"/>
        </w:rPr>
        <w:t>，但不承担本合同规定的甲方的权利和义务。</w:t>
      </w:r>
    </w:p>
    <w:p w14:paraId="1DAC26DF">
      <w:pPr>
        <w:spacing w:line="52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4、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p>
    <w:p w14:paraId="02D192D8">
      <w:pPr>
        <w:spacing w:line="52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5、合同及其附件中所述联系方式如有变更，变更的一方应当在变后以书面方式及时通知另一方。否则一方依据合同及其附件中所述的联系方式发出的通知经过一定期间视为通知已到达。</w:t>
      </w:r>
    </w:p>
    <w:p w14:paraId="63844F4F">
      <w:pPr>
        <w:spacing w:line="520" w:lineRule="exact"/>
        <w:ind w:firstLine="480" w:firstLineChars="200"/>
        <w:rPr>
          <w:rFonts w:ascii="Times New Roman" w:hAnsi="Times New Roman"/>
          <w:color w:val="000000"/>
          <w:sz w:val="24"/>
          <w:highlight w:val="none"/>
        </w:rPr>
      </w:pPr>
      <w:r>
        <w:rPr>
          <w:rFonts w:ascii="Times New Roman" w:hAnsi="Times New Roman"/>
          <w:color w:val="000000"/>
          <w:sz w:val="24"/>
          <w:highlight w:val="none"/>
        </w:rPr>
        <w:t>6、本合同应按照中华人民共和国的现行法律进行解释。</w:t>
      </w:r>
    </w:p>
    <w:p w14:paraId="7C121588">
      <w:pPr>
        <w:spacing w:line="500" w:lineRule="exact"/>
        <w:ind w:firstLine="480" w:firstLineChars="200"/>
        <w:rPr>
          <w:rFonts w:ascii="Times New Roman" w:hAnsi="Times New Roman"/>
          <w:color w:val="000000"/>
          <w:sz w:val="24"/>
          <w:highlight w:val="none"/>
        </w:rPr>
      </w:pPr>
    </w:p>
    <w:p w14:paraId="1077A730">
      <w:pPr>
        <w:spacing w:line="500" w:lineRule="exact"/>
        <w:ind w:firstLine="480" w:firstLineChars="200"/>
        <w:rPr>
          <w:rFonts w:ascii="Times New Roman" w:hAnsi="Times New Roman"/>
          <w:sz w:val="24"/>
          <w:highlight w:val="none"/>
        </w:rPr>
      </w:pPr>
      <w:r>
        <w:rPr>
          <w:rFonts w:ascii="Times New Roman" w:hAnsi="Times New Roman"/>
          <w:sz w:val="24"/>
          <w:highlight w:val="none"/>
        </w:rPr>
        <w:t>甲方（单位盖章）：                乙方（单位盖章）：</w:t>
      </w:r>
    </w:p>
    <w:p w14:paraId="587B74F1">
      <w:pPr>
        <w:spacing w:line="500" w:lineRule="exact"/>
        <w:ind w:firstLine="480" w:firstLineChars="200"/>
        <w:rPr>
          <w:rFonts w:ascii="Times New Roman" w:hAnsi="Times New Roman"/>
          <w:sz w:val="24"/>
          <w:highlight w:val="none"/>
        </w:rPr>
      </w:pPr>
      <w:r>
        <w:rPr>
          <w:rFonts w:ascii="Times New Roman" w:hAnsi="Times New Roman"/>
          <w:sz w:val="24"/>
          <w:highlight w:val="none"/>
        </w:rPr>
        <w:t>地址：</w:t>
      </w:r>
      <w:r>
        <w:rPr>
          <w:rFonts w:ascii="Times New Roman" w:hAnsi="Times New Roman"/>
          <w:sz w:val="24"/>
          <w:highlight w:val="none"/>
        </w:rPr>
        <w:tab/>
      </w:r>
      <w:r>
        <w:rPr>
          <w:rFonts w:ascii="Times New Roman" w:hAnsi="Times New Roman"/>
          <w:sz w:val="24"/>
          <w:highlight w:val="none"/>
        </w:rPr>
        <w:tab/>
      </w:r>
      <w:r>
        <w:rPr>
          <w:rFonts w:ascii="Times New Roman" w:hAnsi="Times New Roman"/>
          <w:sz w:val="24"/>
          <w:highlight w:val="none"/>
        </w:rPr>
        <w:t xml:space="preserve">                       地址：</w:t>
      </w:r>
    </w:p>
    <w:p w14:paraId="27E434CB">
      <w:pPr>
        <w:spacing w:line="500" w:lineRule="exact"/>
        <w:ind w:firstLine="480" w:firstLineChars="200"/>
        <w:rPr>
          <w:rFonts w:ascii="Times New Roman" w:hAnsi="Times New Roman"/>
          <w:sz w:val="24"/>
          <w:highlight w:val="none"/>
        </w:rPr>
      </w:pPr>
      <w:r>
        <w:rPr>
          <w:rFonts w:ascii="Times New Roman" w:hAnsi="Times New Roman"/>
          <w:sz w:val="24"/>
          <w:highlight w:val="none"/>
        </w:rPr>
        <w:t>法定代表人或授权代表签字：       法定代表人或授权代表签字：</w:t>
      </w:r>
    </w:p>
    <w:p w14:paraId="23CB08BC">
      <w:pPr>
        <w:spacing w:line="500" w:lineRule="exact"/>
        <w:ind w:firstLine="480" w:firstLineChars="200"/>
        <w:rPr>
          <w:rFonts w:ascii="Times New Roman" w:hAnsi="Times New Roman"/>
          <w:sz w:val="24"/>
          <w:highlight w:val="none"/>
        </w:rPr>
      </w:pPr>
      <w:r>
        <w:rPr>
          <w:rFonts w:ascii="Times New Roman" w:hAnsi="Times New Roman"/>
          <w:sz w:val="24"/>
          <w:highlight w:val="none"/>
        </w:rPr>
        <w:t>联系方式：                       联系方式：</w:t>
      </w:r>
    </w:p>
    <w:p w14:paraId="296AC23C">
      <w:pPr>
        <w:spacing w:line="500" w:lineRule="exact"/>
        <w:ind w:firstLine="1200" w:firstLineChars="500"/>
        <w:jc w:val="left"/>
        <w:rPr>
          <w:rFonts w:ascii="宋体" w:hAnsi="宋体" w:cs="宋体"/>
          <w:sz w:val="24"/>
          <w:highlight w:val="none"/>
        </w:rPr>
      </w:pPr>
      <w:r>
        <w:rPr>
          <w:rFonts w:hint="eastAsia" w:ascii="宋体" w:hAnsi="宋体" w:cs="宋体"/>
          <w:sz w:val="24"/>
          <w:highlight w:val="none"/>
        </w:rPr>
        <w:t>日期：   年   月   日                 日期：   年   月   日</w:t>
      </w:r>
    </w:p>
    <w:p w14:paraId="698801BC">
      <w:pPr>
        <w:spacing w:line="520" w:lineRule="exact"/>
        <w:ind w:firstLine="480" w:firstLineChars="200"/>
        <w:jc w:val="right"/>
        <w:rPr>
          <w:rFonts w:ascii="Times New Roman" w:hAnsi="Times New Roman"/>
          <w:sz w:val="24"/>
          <w:highlight w:val="none"/>
        </w:rPr>
      </w:pPr>
    </w:p>
    <w:p w14:paraId="4B7E5D39">
      <w:pPr>
        <w:pStyle w:val="2"/>
        <w:numPr>
          <w:ilvl w:val="0"/>
          <w:numId w:val="4"/>
        </w:numPr>
        <w:rPr>
          <w:rFonts w:ascii="Times New Roman" w:eastAsia="黑体"/>
          <w:bCs/>
          <w:sz w:val="44"/>
          <w:highlight w:val="none"/>
        </w:rPr>
      </w:pPr>
      <w:r>
        <w:rPr>
          <w:rFonts w:ascii="Times New Roman"/>
          <w:color w:val="000000"/>
          <w:sz w:val="24"/>
          <w:highlight w:val="none"/>
        </w:rPr>
        <w:br w:type="page"/>
      </w:r>
      <w:bookmarkEnd w:id="170"/>
      <w:bookmarkEnd w:id="171"/>
      <w:bookmarkEnd w:id="172"/>
      <w:bookmarkStart w:id="173" w:name="_Toc481072015"/>
      <w:bookmarkStart w:id="174" w:name="_Toc475009299"/>
      <w:bookmarkStart w:id="175" w:name="_Toc481071969"/>
      <w:bookmarkStart w:id="176" w:name="_Toc145408599"/>
      <w:bookmarkStart w:id="177" w:name="_Toc511899515"/>
      <w:bookmarkStart w:id="178" w:name="_Toc479757211"/>
      <w:bookmarkStart w:id="179" w:name="_Toc462564139"/>
      <w:r>
        <w:rPr>
          <w:rFonts w:ascii="Times New Roman" w:eastAsia="黑体"/>
          <w:bCs/>
          <w:sz w:val="44"/>
          <w:highlight w:val="none"/>
        </w:rPr>
        <w:t>项目需求</w:t>
      </w:r>
      <w:bookmarkEnd w:id="173"/>
      <w:bookmarkEnd w:id="174"/>
      <w:bookmarkEnd w:id="175"/>
      <w:bookmarkEnd w:id="176"/>
      <w:bookmarkEnd w:id="177"/>
    </w:p>
    <w:p w14:paraId="6B91FFC5">
      <w:pPr>
        <w:spacing w:line="540" w:lineRule="exact"/>
        <w:ind w:firstLine="482" w:firstLineChars="200"/>
        <w:rPr>
          <w:b/>
          <w:sz w:val="24"/>
          <w:szCs w:val="24"/>
          <w:highlight w:val="none"/>
        </w:rPr>
      </w:pPr>
      <w:bookmarkStart w:id="180" w:name="_Toc120614281"/>
      <w:bookmarkStart w:id="181" w:name="_Toc49090575"/>
      <w:bookmarkStart w:id="182" w:name="_Toc26554093"/>
      <w:r>
        <w:rPr>
          <w:b/>
          <w:sz w:val="24"/>
          <w:szCs w:val="24"/>
          <w:highlight w:val="none"/>
        </w:rPr>
        <w:t>一</w:t>
      </w:r>
      <w:r>
        <w:rPr>
          <w:rFonts w:hint="eastAsia"/>
          <w:b/>
          <w:sz w:val="24"/>
          <w:szCs w:val="24"/>
          <w:highlight w:val="none"/>
        </w:rPr>
        <w:t>．采购基本要求</w:t>
      </w:r>
    </w:p>
    <w:p w14:paraId="3322BCA1">
      <w:pPr>
        <w:spacing w:line="520" w:lineRule="exact"/>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本次采购的传统终端机总计</w:t>
      </w:r>
      <w:r>
        <w:rPr>
          <w:rFonts w:hint="default" w:ascii="Times New Roman" w:hAnsi="Times New Roman" w:eastAsia="宋体" w:cs="Times New Roman"/>
          <w:sz w:val="24"/>
          <w:szCs w:val="24"/>
          <w:highlight w:val="none"/>
          <w:lang w:val="en-US" w:eastAsia="zh-CN"/>
        </w:rPr>
        <w:t>41</w:t>
      </w:r>
      <w:r>
        <w:rPr>
          <w:rFonts w:hint="eastAsia" w:ascii="Times New Roman" w:hAnsi="Times New Roman" w:eastAsia="宋体" w:cs="Times New Roman"/>
          <w:sz w:val="24"/>
          <w:szCs w:val="24"/>
          <w:highlight w:val="none"/>
          <w:lang w:val="en-US" w:eastAsia="zh-CN"/>
        </w:rPr>
        <w:t>50</w:t>
      </w:r>
      <w:r>
        <w:rPr>
          <w:rFonts w:hint="default" w:ascii="Times New Roman" w:hAnsi="Times New Roman" w:eastAsia="宋体" w:cs="Times New Roman"/>
          <w:sz w:val="24"/>
          <w:szCs w:val="24"/>
          <w:highlight w:val="none"/>
        </w:rPr>
        <w:t>台，第一中标供应商</w:t>
      </w:r>
      <w:r>
        <w:rPr>
          <w:rFonts w:hint="default" w:ascii="Times New Roman" w:hAnsi="Times New Roman" w:eastAsia="宋体" w:cs="Times New Roman"/>
          <w:sz w:val="24"/>
          <w:szCs w:val="24"/>
          <w:highlight w:val="none"/>
          <w:lang w:val="en-US" w:eastAsia="zh-CN"/>
        </w:rPr>
        <w:t>25</w:t>
      </w:r>
      <w:r>
        <w:rPr>
          <w:rFonts w:hint="default" w:ascii="Times New Roman" w:hAnsi="Times New Roman" w:eastAsia="宋体" w:cs="Times New Roman"/>
          <w:sz w:val="24"/>
          <w:szCs w:val="24"/>
          <w:highlight w:val="none"/>
        </w:rPr>
        <w:t>00台，第二中标供应商</w:t>
      </w:r>
      <w:r>
        <w:rPr>
          <w:rFonts w:hint="eastAsia" w:ascii="Times New Roman" w:hAnsi="Times New Roman" w:eastAsia="宋体" w:cs="Times New Roman"/>
          <w:sz w:val="24"/>
          <w:szCs w:val="24"/>
          <w:highlight w:val="none"/>
          <w:lang w:val="en-US" w:eastAsia="zh-CN"/>
        </w:rPr>
        <w:t>1650</w:t>
      </w:r>
      <w:r>
        <w:rPr>
          <w:rFonts w:hint="default" w:ascii="Times New Roman" w:hAnsi="Times New Roman" w:eastAsia="宋体" w:cs="Times New Roman"/>
          <w:sz w:val="24"/>
          <w:szCs w:val="24"/>
          <w:highlight w:val="none"/>
        </w:rPr>
        <w:t>台。</w:t>
      </w:r>
    </w:p>
    <w:p w14:paraId="080797AC">
      <w:pPr>
        <w:spacing w:line="520" w:lineRule="exact"/>
        <w:ind w:firstLine="480" w:firstLineChars="200"/>
        <w:rPr>
          <w:rFonts w:hint="default" w:ascii="Times New Roman" w:hAnsi="Times New Roman" w:eastAsia="宋体" w:cs="Times New Roman"/>
          <w:i/>
          <w:iCs/>
          <w:sz w:val="24"/>
          <w:szCs w:val="24"/>
          <w:highlight w:val="none"/>
          <w:u w:val="single"/>
        </w:rPr>
      </w:pPr>
      <w:r>
        <w:rPr>
          <w:rFonts w:hint="eastAsia" w:ascii="Times New Roman" w:hAnsi="Times New Roman" w:eastAsia="宋体" w:cs="Times New Roman"/>
          <w:i/>
          <w:iCs/>
          <w:sz w:val="24"/>
          <w:szCs w:val="24"/>
          <w:highlight w:val="none"/>
          <w:u w:val="single"/>
          <w:lang w:val="en-US" w:eastAsia="zh-CN"/>
        </w:rPr>
        <w:t>1）</w:t>
      </w:r>
      <w:r>
        <w:rPr>
          <w:rFonts w:hint="default" w:ascii="Times New Roman" w:hAnsi="Times New Roman" w:eastAsia="宋体" w:cs="Times New Roman"/>
          <w:i/>
          <w:iCs/>
          <w:sz w:val="24"/>
          <w:szCs w:val="24"/>
          <w:highlight w:val="none"/>
          <w:u w:val="single"/>
        </w:rPr>
        <w:t>供应商必须为体彩字〔2025〕104号</w:t>
      </w:r>
      <w:r>
        <w:rPr>
          <w:rFonts w:hint="default" w:ascii="Times New Roman" w:hAnsi="Times New Roman" w:eastAsia="宋体" w:cs="Times New Roman"/>
          <w:i/>
          <w:iCs/>
          <w:sz w:val="24"/>
          <w:szCs w:val="24"/>
          <w:highlight w:val="none"/>
          <w:u w:val="single"/>
          <w:lang w:eastAsia="zh-CN"/>
        </w:rPr>
        <w:t>《</w:t>
      </w:r>
      <w:r>
        <w:rPr>
          <w:rFonts w:hint="default" w:ascii="Times New Roman" w:hAnsi="Times New Roman" w:eastAsia="宋体" w:cs="Times New Roman"/>
          <w:i/>
          <w:iCs/>
          <w:sz w:val="24"/>
          <w:szCs w:val="24"/>
          <w:highlight w:val="none"/>
          <w:u w:val="single"/>
        </w:rPr>
        <w:t>关于更新体育彩票电脑彩票传统终端机通过测试目录的通知》所列出目录内的参评企业（如截止开标日前国家体育总局体育彩票管理中心再次发布更新文件，以更新文件为准）。</w:t>
      </w:r>
    </w:p>
    <w:p w14:paraId="1A012F11">
      <w:pPr>
        <w:spacing w:line="520" w:lineRule="exact"/>
        <w:ind w:firstLine="480" w:firstLineChars="200"/>
        <w:rPr>
          <w:rFonts w:hint="default" w:ascii="Times New Roman" w:hAnsi="Times New Roman" w:eastAsia="宋体" w:cs="Times New Roman"/>
          <w:i/>
          <w:iCs/>
          <w:sz w:val="24"/>
          <w:szCs w:val="24"/>
          <w:highlight w:val="none"/>
          <w:u w:val="single"/>
        </w:rPr>
      </w:pPr>
      <w:r>
        <w:rPr>
          <w:rFonts w:hint="eastAsia" w:ascii="Times New Roman" w:hAnsi="Times New Roman" w:eastAsia="宋体" w:cs="Times New Roman"/>
          <w:i/>
          <w:iCs/>
          <w:sz w:val="24"/>
          <w:szCs w:val="24"/>
          <w:highlight w:val="none"/>
          <w:u w:val="single"/>
          <w:lang w:val="en-US" w:eastAsia="zh-CN"/>
        </w:rPr>
        <w:t>2）</w:t>
      </w:r>
      <w:r>
        <w:rPr>
          <w:rFonts w:hint="default" w:ascii="Times New Roman" w:hAnsi="Times New Roman" w:eastAsia="宋体" w:cs="Times New Roman"/>
          <w:i/>
          <w:iCs/>
          <w:sz w:val="24"/>
          <w:szCs w:val="24"/>
          <w:highlight w:val="none"/>
          <w:u w:val="single"/>
        </w:rPr>
        <w:t>本次采购的终端机机型必须为〔2025〕104号文件列出的“标准型传统终端机采购目录”所指定的终端机型号（如截止开标日前国家体育总局体育彩票管理中心再次发布更新文件，以更新文件为准）。</w:t>
      </w:r>
    </w:p>
    <w:p w14:paraId="5D4B0D0B">
      <w:pPr>
        <w:spacing w:line="520" w:lineRule="exact"/>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3）</w:t>
      </w:r>
      <w:r>
        <w:rPr>
          <w:rFonts w:hint="default" w:ascii="Times New Roman" w:hAnsi="Times New Roman" w:eastAsia="宋体" w:cs="Times New Roman"/>
          <w:sz w:val="24"/>
          <w:szCs w:val="24"/>
          <w:highlight w:val="none"/>
        </w:rPr>
        <w:t>同一供应商限投一种型号产品。</w:t>
      </w:r>
    </w:p>
    <w:p w14:paraId="4455883B">
      <w:pPr>
        <w:spacing w:line="520" w:lineRule="exact"/>
        <w:ind w:firstLine="482" w:firstLineChars="200"/>
        <w:rPr>
          <w:b/>
          <w:sz w:val="24"/>
          <w:szCs w:val="24"/>
          <w:highlight w:val="none"/>
        </w:rPr>
      </w:pPr>
      <w:r>
        <w:rPr>
          <w:b/>
          <w:sz w:val="24"/>
          <w:szCs w:val="24"/>
          <w:highlight w:val="none"/>
        </w:rPr>
        <w:t>二</w:t>
      </w:r>
      <w:r>
        <w:rPr>
          <w:rFonts w:hint="eastAsia"/>
          <w:b/>
          <w:sz w:val="24"/>
          <w:szCs w:val="24"/>
          <w:highlight w:val="none"/>
        </w:rPr>
        <w:t>．技术参数要求</w:t>
      </w:r>
    </w:p>
    <w:p w14:paraId="07345A86">
      <w:pPr>
        <w:spacing w:line="520" w:lineRule="exact"/>
        <w:ind w:firstLine="480" w:firstLineChars="200"/>
        <w:rPr>
          <w:sz w:val="24"/>
          <w:szCs w:val="24"/>
          <w:highlight w:val="none"/>
        </w:rPr>
      </w:pPr>
      <w:r>
        <w:rPr>
          <w:rFonts w:hint="eastAsia"/>
          <w:sz w:val="24"/>
          <w:szCs w:val="24"/>
          <w:highlight w:val="none"/>
        </w:rPr>
        <w:t>本次采购的</w:t>
      </w:r>
      <w:r>
        <w:rPr>
          <w:rFonts w:hint="eastAsia"/>
          <w:sz w:val="24"/>
          <w:szCs w:val="24"/>
          <w:highlight w:val="none"/>
          <w:lang w:eastAsia="zh-CN"/>
        </w:rPr>
        <w:t>传统终端机</w:t>
      </w:r>
      <w:r>
        <w:rPr>
          <w:rFonts w:hint="eastAsia"/>
          <w:sz w:val="24"/>
          <w:szCs w:val="24"/>
          <w:highlight w:val="none"/>
        </w:rPr>
        <w:t>必须是全新原装设备，质量要求应达到国家和行业相关标准，技术参数应符合或优于招标文件要求。终端机具体技术参数要求如下：</w:t>
      </w:r>
    </w:p>
    <w:tbl>
      <w:tblPr>
        <w:tblStyle w:val="37"/>
        <w:tblW w:w="0" w:type="auto"/>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864"/>
        <w:gridCol w:w="1418"/>
        <w:gridCol w:w="6379"/>
      </w:tblGrid>
      <w:tr w14:paraId="202DE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80" w:hRule="atLeast"/>
          <w:tblCellSpacing w:w="15" w:type="dxa"/>
          <w:jc w:val="center"/>
        </w:trPr>
        <w:tc>
          <w:tcPr>
            <w:tcW w:w="819" w:type="dxa"/>
            <w:noWrap w:val="0"/>
            <w:tcMar>
              <w:top w:w="0" w:type="dxa"/>
              <w:left w:w="0" w:type="dxa"/>
              <w:bottom w:w="0" w:type="dxa"/>
              <w:right w:w="0" w:type="dxa"/>
            </w:tcMar>
            <w:vAlign w:val="center"/>
          </w:tcPr>
          <w:p w14:paraId="14CE954E">
            <w:pPr>
              <w:keepNext w:val="0"/>
              <w:keepLines w:val="0"/>
              <w:pageBreakBefore w:val="0"/>
              <w:widowControl/>
              <w:kinsoku/>
              <w:wordWrap/>
              <w:overflowPunct/>
              <w:topLinePunct w:val="0"/>
              <w:autoSpaceDE/>
              <w:autoSpaceDN/>
              <w:bidi w:val="0"/>
              <w:adjustRightInd w:val="0"/>
              <w:snapToGrid w:val="0"/>
              <w:spacing w:beforeAutospacing="0" w:line="360" w:lineRule="auto"/>
              <w:ind w:left="105"/>
              <w:jc w:val="center"/>
              <w:textAlignment w:val="auto"/>
              <w:rPr>
                <w:rFonts w:hint="eastAsia" w:ascii="宋体" w:hAnsi="宋体" w:eastAsia="宋体" w:cs="宋体"/>
                <w:b/>
                <w:bCs/>
                <w:color w:val="000000"/>
                <w:kern w:val="0"/>
                <w:sz w:val="24"/>
                <w:szCs w:val="24"/>
                <w:highlight w:val="none"/>
                <w:lang w:val="en-US" w:eastAsia="zh-CN"/>
              </w:rPr>
            </w:pPr>
            <w:r>
              <w:rPr>
                <w:rFonts w:hint="eastAsia" w:ascii="宋体" w:hAnsi="宋体" w:eastAsia="宋体" w:cs="宋体"/>
                <w:b/>
                <w:bCs/>
                <w:color w:val="000000"/>
                <w:kern w:val="0"/>
                <w:sz w:val="24"/>
                <w:szCs w:val="24"/>
                <w:highlight w:val="none"/>
                <w:lang w:val="en-US" w:eastAsia="zh-CN"/>
              </w:rPr>
              <w:t>序号</w:t>
            </w:r>
          </w:p>
        </w:tc>
        <w:tc>
          <w:tcPr>
            <w:tcW w:w="1388" w:type="dxa"/>
            <w:noWrap w:val="0"/>
            <w:tcMar>
              <w:top w:w="0" w:type="dxa"/>
              <w:left w:w="0" w:type="dxa"/>
              <w:bottom w:w="0" w:type="dxa"/>
              <w:right w:w="0" w:type="dxa"/>
            </w:tcMar>
            <w:vAlign w:val="center"/>
          </w:tcPr>
          <w:p w14:paraId="41A6AFD8">
            <w:pPr>
              <w:keepNext w:val="0"/>
              <w:keepLines w:val="0"/>
              <w:pageBreakBefore w:val="0"/>
              <w:widowControl/>
              <w:kinsoku/>
              <w:wordWrap/>
              <w:overflowPunct/>
              <w:topLinePunct w:val="0"/>
              <w:autoSpaceDE/>
              <w:autoSpaceDN/>
              <w:bidi w:val="0"/>
              <w:adjustRightInd w:val="0"/>
              <w:snapToGrid w:val="0"/>
              <w:spacing w:beforeAutospacing="0" w:line="360" w:lineRule="auto"/>
              <w:ind w:left="105"/>
              <w:jc w:val="center"/>
              <w:textAlignment w:val="auto"/>
              <w:rPr>
                <w:rFonts w:hint="eastAsia" w:ascii="宋体" w:hAnsi="宋体" w:eastAsia="宋体" w:cs="宋体"/>
                <w:b/>
                <w:bCs/>
                <w:color w:val="000000"/>
                <w:kern w:val="0"/>
                <w:sz w:val="24"/>
                <w:szCs w:val="24"/>
                <w:highlight w:val="none"/>
                <w:lang w:val="en-US" w:eastAsia="zh-CN"/>
              </w:rPr>
            </w:pPr>
            <w:r>
              <w:rPr>
                <w:rFonts w:hint="eastAsia" w:ascii="宋体" w:hAnsi="宋体" w:eastAsia="宋体" w:cs="宋体"/>
                <w:b/>
                <w:bCs/>
                <w:color w:val="000000"/>
                <w:kern w:val="0"/>
                <w:sz w:val="24"/>
                <w:szCs w:val="24"/>
                <w:highlight w:val="none"/>
                <w:lang w:val="en-US" w:eastAsia="zh-CN"/>
              </w:rPr>
              <w:t>名   称</w:t>
            </w:r>
          </w:p>
        </w:tc>
        <w:tc>
          <w:tcPr>
            <w:tcW w:w="6334" w:type="dxa"/>
            <w:noWrap w:val="0"/>
            <w:tcMar>
              <w:top w:w="0" w:type="dxa"/>
              <w:left w:w="0" w:type="dxa"/>
              <w:bottom w:w="0" w:type="dxa"/>
              <w:right w:w="0" w:type="dxa"/>
            </w:tcMar>
            <w:vAlign w:val="center"/>
          </w:tcPr>
          <w:p w14:paraId="52CDDDBA">
            <w:pPr>
              <w:keepNext w:val="0"/>
              <w:keepLines w:val="0"/>
              <w:pageBreakBefore w:val="0"/>
              <w:widowControl/>
              <w:kinsoku/>
              <w:wordWrap/>
              <w:overflowPunct/>
              <w:topLinePunct w:val="0"/>
              <w:autoSpaceDE/>
              <w:autoSpaceDN/>
              <w:bidi w:val="0"/>
              <w:adjustRightInd w:val="0"/>
              <w:snapToGrid w:val="0"/>
              <w:spacing w:beforeAutospacing="0" w:line="360" w:lineRule="auto"/>
              <w:ind w:left="105"/>
              <w:jc w:val="center"/>
              <w:textAlignment w:val="auto"/>
              <w:rPr>
                <w:rFonts w:hint="eastAsia" w:ascii="宋体" w:hAnsi="宋体" w:eastAsia="宋体" w:cs="宋体"/>
                <w:b/>
                <w:bCs/>
                <w:color w:val="000000"/>
                <w:kern w:val="0"/>
                <w:sz w:val="24"/>
                <w:szCs w:val="24"/>
                <w:highlight w:val="none"/>
                <w:lang w:val="en-US" w:eastAsia="zh-CN"/>
              </w:rPr>
            </w:pPr>
            <w:r>
              <w:rPr>
                <w:rFonts w:hint="eastAsia" w:ascii="宋体" w:hAnsi="宋体" w:eastAsia="宋体" w:cs="宋体"/>
                <w:b/>
                <w:bCs/>
                <w:color w:val="000000"/>
                <w:kern w:val="0"/>
                <w:sz w:val="24"/>
                <w:szCs w:val="24"/>
                <w:highlight w:val="none"/>
                <w:lang w:val="en-US" w:eastAsia="zh-CN"/>
              </w:rPr>
              <w:t>要       求</w:t>
            </w:r>
          </w:p>
        </w:tc>
      </w:tr>
      <w:tr w14:paraId="6E27A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80" w:hRule="atLeast"/>
          <w:tblCellSpacing w:w="15" w:type="dxa"/>
          <w:jc w:val="center"/>
        </w:trPr>
        <w:tc>
          <w:tcPr>
            <w:tcW w:w="819" w:type="dxa"/>
            <w:noWrap w:val="0"/>
            <w:tcMar>
              <w:top w:w="0" w:type="dxa"/>
              <w:left w:w="0" w:type="dxa"/>
              <w:bottom w:w="0" w:type="dxa"/>
              <w:right w:w="0" w:type="dxa"/>
            </w:tcMar>
            <w:vAlign w:val="center"/>
          </w:tcPr>
          <w:p w14:paraId="65CB0777">
            <w:pPr>
              <w:keepNext w:val="0"/>
              <w:keepLines w:val="0"/>
              <w:pageBreakBefore w:val="0"/>
              <w:widowControl/>
              <w:kinsoku/>
              <w:wordWrap/>
              <w:overflowPunct/>
              <w:topLinePunct w:val="0"/>
              <w:autoSpaceDE/>
              <w:autoSpaceDN/>
              <w:bidi w:val="0"/>
              <w:adjustRightInd w:val="0"/>
              <w:snapToGrid w:val="0"/>
              <w:spacing w:beforeAutospacing="0" w:line="360" w:lineRule="auto"/>
              <w:ind w:left="105"/>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w:t>
            </w:r>
          </w:p>
        </w:tc>
        <w:tc>
          <w:tcPr>
            <w:tcW w:w="1388" w:type="dxa"/>
            <w:noWrap w:val="0"/>
            <w:tcMar>
              <w:top w:w="0" w:type="dxa"/>
              <w:left w:w="0" w:type="dxa"/>
              <w:bottom w:w="0" w:type="dxa"/>
              <w:right w:w="0" w:type="dxa"/>
            </w:tcMar>
            <w:vAlign w:val="center"/>
          </w:tcPr>
          <w:p w14:paraId="0A828939">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主板</w:t>
            </w:r>
          </w:p>
        </w:tc>
        <w:tc>
          <w:tcPr>
            <w:tcW w:w="6334" w:type="dxa"/>
            <w:noWrap w:val="0"/>
            <w:tcMar>
              <w:top w:w="0" w:type="dxa"/>
              <w:left w:w="0" w:type="dxa"/>
              <w:bottom w:w="0" w:type="dxa"/>
              <w:right w:w="0" w:type="dxa"/>
            </w:tcMar>
            <w:vAlign w:val="center"/>
          </w:tcPr>
          <w:p w14:paraId="69D258A6">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已通过体彩专业测试的工业控制级专用主板：专用 BIOS，支持PnP、先进电源管理APM 、ACPI，多种安全策略，支持即插即用，USB启动</w:t>
            </w:r>
            <w:r>
              <w:rPr>
                <w:rFonts w:hint="eastAsia" w:ascii="宋体" w:hAnsi="宋体" w:eastAsia="宋体" w:cs="宋体"/>
                <w:sz w:val="24"/>
                <w:szCs w:val="24"/>
                <w:lang w:eastAsia="zh-CN"/>
              </w:rPr>
              <w:t>。</w:t>
            </w:r>
          </w:p>
        </w:tc>
      </w:tr>
      <w:tr w14:paraId="0C493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blCellSpacing w:w="15" w:type="dxa"/>
          <w:jc w:val="center"/>
        </w:trPr>
        <w:tc>
          <w:tcPr>
            <w:tcW w:w="819" w:type="dxa"/>
            <w:noWrap w:val="0"/>
            <w:tcMar>
              <w:top w:w="0" w:type="dxa"/>
              <w:left w:w="0" w:type="dxa"/>
              <w:bottom w:w="0" w:type="dxa"/>
              <w:right w:w="0" w:type="dxa"/>
            </w:tcMar>
            <w:vAlign w:val="center"/>
          </w:tcPr>
          <w:p w14:paraId="35813A65">
            <w:pPr>
              <w:keepNext w:val="0"/>
              <w:keepLines w:val="0"/>
              <w:pageBreakBefore w:val="0"/>
              <w:widowControl/>
              <w:kinsoku/>
              <w:wordWrap/>
              <w:overflowPunct/>
              <w:topLinePunct w:val="0"/>
              <w:autoSpaceDE/>
              <w:autoSpaceDN/>
              <w:bidi w:val="0"/>
              <w:adjustRightInd w:val="0"/>
              <w:snapToGrid w:val="0"/>
              <w:spacing w:beforeAutospacing="0" w:line="360" w:lineRule="auto"/>
              <w:ind w:left="105"/>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w:t>
            </w:r>
          </w:p>
        </w:tc>
        <w:tc>
          <w:tcPr>
            <w:tcW w:w="1388" w:type="dxa"/>
            <w:noWrap w:val="0"/>
            <w:tcMar>
              <w:top w:w="0" w:type="dxa"/>
              <w:left w:w="0" w:type="dxa"/>
              <w:bottom w:w="0" w:type="dxa"/>
              <w:right w:w="0" w:type="dxa"/>
            </w:tcMar>
            <w:vAlign w:val="center"/>
          </w:tcPr>
          <w:p w14:paraId="7145DF6B">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CPU性能</w:t>
            </w:r>
          </w:p>
        </w:tc>
        <w:tc>
          <w:tcPr>
            <w:tcW w:w="6334" w:type="dxa"/>
            <w:noWrap w:val="0"/>
            <w:tcMar>
              <w:top w:w="0" w:type="dxa"/>
              <w:left w:w="0" w:type="dxa"/>
              <w:bottom w:w="0" w:type="dxa"/>
              <w:right w:w="0" w:type="dxa"/>
            </w:tcMar>
            <w:vAlign w:val="center"/>
          </w:tcPr>
          <w:p w14:paraId="52086A52">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CPU主频≥2.9 GHz</w:t>
            </w:r>
          </w:p>
        </w:tc>
      </w:tr>
      <w:tr w14:paraId="4F692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65" w:hRule="atLeast"/>
          <w:tblCellSpacing w:w="15" w:type="dxa"/>
          <w:jc w:val="center"/>
        </w:trPr>
        <w:tc>
          <w:tcPr>
            <w:tcW w:w="819" w:type="dxa"/>
            <w:noWrap w:val="0"/>
            <w:tcMar>
              <w:top w:w="0" w:type="dxa"/>
              <w:left w:w="0" w:type="dxa"/>
              <w:bottom w:w="0" w:type="dxa"/>
              <w:right w:w="0" w:type="dxa"/>
            </w:tcMar>
            <w:vAlign w:val="center"/>
          </w:tcPr>
          <w:p w14:paraId="6B873484">
            <w:pPr>
              <w:keepNext w:val="0"/>
              <w:keepLines w:val="0"/>
              <w:pageBreakBefore w:val="0"/>
              <w:widowControl/>
              <w:kinsoku/>
              <w:wordWrap/>
              <w:overflowPunct/>
              <w:topLinePunct w:val="0"/>
              <w:autoSpaceDE/>
              <w:autoSpaceDN/>
              <w:bidi w:val="0"/>
              <w:adjustRightInd w:val="0"/>
              <w:snapToGrid w:val="0"/>
              <w:spacing w:beforeAutospacing="0" w:line="360" w:lineRule="auto"/>
              <w:ind w:left="105"/>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w:t>
            </w:r>
          </w:p>
        </w:tc>
        <w:tc>
          <w:tcPr>
            <w:tcW w:w="1388" w:type="dxa"/>
            <w:noWrap w:val="0"/>
            <w:tcMar>
              <w:top w:w="0" w:type="dxa"/>
              <w:left w:w="0" w:type="dxa"/>
              <w:bottom w:w="0" w:type="dxa"/>
              <w:right w:w="0" w:type="dxa"/>
            </w:tcMar>
            <w:vAlign w:val="center"/>
          </w:tcPr>
          <w:p w14:paraId="055E7147">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内存</w:t>
            </w:r>
          </w:p>
        </w:tc>
        <w:tc>
          <w:tcPr>
            <w:tcW w:w="6334" w:type="dxa"/>
            <w:noWrap w:val="0"/>
            <w:tcMar>
              <w:top w:w="0" w:type="dxa"/>
              <w:left w:w="0" w:type="dxa"/>
              <w:bottom w:w="0" w:type="dxa"/>
              <w:right w:w="0" w:type="dxa"/>
            </w:tcMar>
            <w:vAlign w:val="center"/>
          </w:tcPr>
          <w:p w14:paraId="0305BB6F">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内存容量≥4GB</w:t>
            </w:r>
          </w:p>
        </w:tc>
      </w:tr>
      <w:tr w14:paraId="08DE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65" w:hRule="atLeast"/>
          <w:tblCellSpacing w:w="15" w:type="dxa"/>
          <w:jc w:val="center"/>
        </w:trPr>
        <w:tc>
          <w:tcPr>
            <w:tcW w:w="819" w:type="dxa"/>
            <w:noWrap w:val="0"/>
            <w:tcMar>
              <w:top w:w="0" w:type="dxa"/>
              <w:left w:w="0" w:type="dxa"/>
              <w:bottom w:w="0" w:type="dxa"/>
              <w:right w:w="0" w:type="dxa"/>
            </w:tcMar>
            <w:vAlign w:val="center"/>
          </w:tcPr>
          <w:p w14:paraId="07D952A8">
            <w:pPr>
              <w:keepNext w:val="0"/>
              <w:keepLines w:val="0"/>
              <w:pageBreakBefore w:val="0"/>
              <w:widowControl/>
              <w:kinsoku/>
              <w:wordWrap/>
              <w:overflowPunct/>
              <w:topLinePunct w:val="0"/>
              <w:autoSpaceDE/>
              <w:autoSpaceDN/>
              <w:bidi w:val="0"/>
              <w:adjustRightInd w:val="0"/>
              <w:snapToGrid w:val="0"/>
              <w:spacing w:beforeAutospacing="0" w:line="360" w:lineRule="auto"/>
              <w:ind w:left="105"/>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4</w:t>
            </w:r>
          </w:p>
        </w:tc>
        <w:tc>
          <w:tcPr>
            <w:tcW w:w="1388" w:type="dxa"/>
            <w:noWrap w:val="0"/>
            <w:tcMar>
              <w:top w:w="0" w:type="dxa"/>
              <w:left w:w="0" w:type="dxa"/>
              <w:bottom w:w="0" w:type="dxa"/>
              <w:right w:w="0" w:type="dxa"/>
            </w:tcMar>
            <w:vAlign w:val="center"/>
          </w:tcPr>
          <w:p w14:paraId="73ABB482">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主存储器</w:t>
            </w:r>
          </w:p>
        </w:tc>
        <w:tc>
          <w:tcPr>
            <w:tcW w:w="6334" w:type="dxa"/>
            <w:noWrap w:val="0"/>
            <w:tcMar>
              <w:top w:w="0" w:type="dxa"/>
              <w:left w:w="0" w:type="dxa"/>
              <w:bottom w:w="0" w:type="dxa"/>
              <w:right w:w="0" w:type="dxa"/>
            </w:tcMar>
            <w:vAlign w:val="center"/>
          </w:tcPr>
          <w:p w14:paraId="75EA83E8">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主存贮器为CF、DOM、SSD等类型的纯电子硬盘，容量≥16 GB。</w:t>
            </w:r>
          </w:p>
        </w:tc>
      </w:tr>
      <w:tr w14:paraId="3AF20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3" w:hRule="atLeast"/>
          <w:tblCellSpacing w:w="15" w:type="dxa"/>
          <w:jc w:val="center"/>
        </w:trPr>
        <w:tc>
          <w:tcPr>
            <w:tcW w:w="819" w:type="dxa"/>
            <w:noWrap w:val="0"/>
            <w:tcMar>
              <w:top w:w="0" w:type="dxa"/>
              <w:left w:w="0" w:type="dxa"/>
              <w:bottom w:w="0" w:type="dxa"/>
              <w:right w:w="0" w:type="dxa"/>
            </w:tcMar>
            <w:vAlign w:val="center"/>
          </w:tcPr>
          <w:p w14:paraId="006E57EF">
            <w:pPr>
              <w:keepNext w:val="0"/>
              <w:keepLines w:val="0"/>
              <w:pageBreakBefore w:val="0"/>
              <w:widowControl/>
              <w:kinsoku/>
              <w:wordWrap/>
              <w:overflowPunct/>
              <w:topLinePunct w:val="0"/>
              <w:autoSpaceDE/>
              <w:autoSpaceDN/>
              <w:bidi w:val="0"/>
              <w:adjustRightInd w:val="0"/>
              <w:snapToGrid w:val="0"/>
              <w:spacing w:beforeAutospacing="0" w:line="360" w:lineRule="auto"/>
              <w:ind w:left="105"/>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5</w:t>
            </w:r>
          </w:p>
        </w:tc>
        <w:tc>
          <w:tcPr>
            <w:tcW w:w="1388" w:type="dxa"/>
            <w:noWrap w:val="0"/>
            <w:tcMar>
              <w:top w:w="0" w:type="dxa"/>
              <w:left w:w="0" w:type="dxa"/>
              <w:bottom w:w="0" w:type="dxa"/>
              <w:right w:w="0" w:type="dxa"/>
            </w:tcMar>
            <w:vAlign w:val="center"/>
          </w:tcPr>
          <w:p w14:paraId="27D4959B">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显示器</w:t>
            </w:r>
          </w:p>
        </w:tc>
        <w:tc>
          <w:tcPr>
            <w:tcW w:w="6334" w:type="dxa"/>
            <w:noWrap w:val="0"/>
            <w:tcMar>
              <w:top w:w="0" w:type="dxa"/>
              <w:left w:w="0" w:type="dxa"/>
              <w:bottom w:w="0" w:type="dxa"/>
              <w:right w:w="0" w:type="dxa"/>
            </w:tcMar>
            <w:vAlign w:val="center"/>
          </w:tcPr>
          <w:p w14:paraId="067D2BC4">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标准工业用彩色LCD显示器，不小于15英寸</w:t>
            </w:r>
            <w:r>
              <w:rPr>
                <w:rFonts w:hint="eastAsia" w:ascii="宋体" w:hAnsi="宋体" w:eastAsia="宋体" w:cs="宋体"/>
                <w:sz w:val="24"/>
                <w:szCs w:val="24"/>
                <w:lang w:eastAsia="zh-CN"/>
              </w:rPr>
              <w:t>。</w:t>
            </w:r>
          </w:p>
        </w:tc>
      </w:tr>
      <w:tr w14:paraId="0B7BE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45" w:hRule="atLeast"/>
          <w:tblCellSpacing w:w="15" w:type="dxa"/>
          <w:jc w:val="center"/>
        </w:trPr>
        <w:tc>
          <w:tcPr>
            <w:tcW w:w="819" w:type="dxa"/>
            <w:noWrap w:val="0"/>
            <w:tcMar>
              <w:top w:w="0" w:type="dxa"/>
              <w:left w:w="0" w:type="dxa"/>
              <w:bottom w:w="0" w:type="dxa"/>
              <w:right w:w="0" w:type="dxa"/>
            </w:tcMar>
            <w:vAlign w:val="center"/>
          </w:tcPr>
          <w:p w14:paraId="3556EA1D">
            <w:pPr>
              <w:keepNext w:val="0"/>
              <w:keepLines w:val="0"/>
              <w:pageBreakBefore w:val="0"/>
              <w:widowControl/>
              <w:kinsoku/>
              <w:wordWrap/>
              <w:overflowPunct/>
              <w:topLinePunct w:val="0"/>
              <w:autoSpaceDE/>
              <w:autoSpaceDN/>
              <w:bidi w:val="0"/>
              <w:adjustRightInd w:val="0"/>
              <w:snapToGrid w:val="0"/>
              <w:spacing w:beforeAutospacing="0" w:line="360" w:lineRule="auto"/>
              <w:ind w:left="105"/>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w:t>
            </w:r>
          </w:p>
        </w:tc>
        <w:tc>
          <w:tcPr>
            <w:tcW w:w="1388" w:type="dxa"/>
            <w:noWrap w:val="0"/>
            <w:tcMar>
              <w:top w:w="0" w:type="dxa"/>
              <w:left w:w="0" w:type="dxa"/>
              <w:bottom w:w="0" w:type="dxa"/>
              <w:right w:w="0" w:type="dxa"/>
            </w:tcMar>
            <w:vAlign w:val="center"/>
          </w:tcPr>
          <w:p w14:paraId="6B3A5955">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读票机</w:t>
            </w:r>
          </w:p>
        </w:tc>
        <w:tc>
          <w:tcPr>
            <w:tcW w:w="6334" w:type="dxa"/>
            <w:noWrap w:val="0"/>
            <w:tcMar>
              <w:top w:w="0" w:type="dxa"/>
              <w:left w:w="0" w:type="dxa"/>
              <w:bottom w:w="0" w:type="dxa"/>
              <w:right w:w="0" w:type="dxa"/>
            </w:tcMar>
            <w:vAlign w:val="center"/>
          </w:tcPr>
          <w:p w14:paraId="4DCBAC23">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OCR或CIS扫描式高速读票机能正确读取并识别所有电脑体育彩票的黑标或二维码，MCBF&gt;200万张票；误码率&lt;0.1%，卡纸率&lt;0.1%。要求：</w:t>
            </w:r>
          </w:p>
          <w:p w14:paraId="65A04ACB">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right="0"/>
              <w:jc w:val="left"/>
              <w:textAlignment w:val="auto"/>
              <w:rPr>
                <w:rFonts w:hint="eastAsia" w:ascii="宋体" w:hAnsi="宋体" w:eastAsia="宋体" w:cs="宋体"/>
                <w:sz w:val="24"/>
                <w:szCs w:val="24"/>
              </w:rPr>
            </w:pPr>
            <w:r>
              <w:rPr>
                <w:rFonts w:hint="eastAsia" w:ascii="宋体" w:hAnsi="宋体" w:eastAsia="宋体" w:cs="宋体"/>
                <w:sz w:val="24"/>
                <w:szCs w:val="24"/>
              </w:rPr>
              <w:t>(1)读票宽度≥79mm（≥A6），读票长度58mm--4</w:t>
            </w:r>
            <w:r>
              <w:rPr>
                <w:rFonts w:hint="eastAsia" w:ascii="宋体" w:hAnsi="宋体" w:eastAsia="宋体" w:cs="宋体"/>
                <w:sz w:val="24"/>
                <w:szCs w:val="24"/>
                <w:lang w:val="en-US" w:eastAsia="zh-CN"/>
              </w:rPr>
              <w:t>3</w:t>
            </w:r>
            <w:r>
              <w:rPr>
                <w:rFonts w:hint="eastAsia" w:ascii="宋体" w:hAnsi="宋体" w:eastAsia="宋体" w:cs="宋体"/>
                <w:sz w:val="24"/>
                <w:szCs w:val="24"/>
              </w:rPr>
              <w:t>0mm；</w:t>
            </w:r>
          </w:p>
          <w:p w14:paraId="3275A953">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right="0"/>
              <w:jc w:val="left"/>
              <w:textAlignment w:val="auto"/>
              <w:rPr>
                <w:rFonts w:hint="eastAsia" w:ascii="宋体" w:hAnsi="宋体" w:eastAsia="宋体" w:cs="宋体"/>
                <w:sz w:val="24"/>
                <w:szCs w:val="24"/>
              </w:rPr>
            </w:pPr>
            <w:r>
              <w:rPr>
                <w:rFonts w:hint="eastAsia" w:ascii="宋体" w:hAnsi="宋体" w:eastAsia="宋体" w:cs="宋体"/>
                <w:sz w:val="24"/>
                <w:szCs w:val="24"/>
              </w:rPr>
              <w:t>(2)有独立热敏打印头，能打印“已兑奖”、“已取消”等标记打印功能；</w:t>
            </w:r>
          </w:p>
          <w:p w14:paraId="1E73BB06">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(3)支持PDF417二维条码识读、支持自定义标记打印（标记内容可编辑）、标记打印位置可调节。</w:t>
            </w:r>
          </w:p>
        </w:tc>
      </w:tr>
      <w:tr w14:paraId="57F57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65" w:hRule="atLeast"/>
          <w:tblCellSpacing w:w="15" w:type="dxa"/>
          <w:jc w:val="center"/>
        </w:trPr>
        <w:tc>
          <w:tcPr>
            <w:tcW w:w="819" w:type="dxa"/>
            <w:noWrap w:val="0"/>
            <w:tcMar>
              <w:top w:w="0" w:type="dxa"/>
              <w:left w:w="0" w:type="dxa"/>
              <w:bottom w:w="0" w:type="dxa"/>
              <w:right w:w="0" w:type="dxa"/>
            </w:tcMar>
            <w:vAlign w:val="center"/>
          </w:tcPr>
          <w:p w14:paraId="20E4D206">
            <w:pPr>
              <w:keepNext w:val="0"/>
              <w:keepLines w:val="0"/>
              <w:pageBreakBefore w:val="0"/>
              <w:widowControl/>
              <w:kinsoku/>
              <w:wordWrap/>
              <w:overflowPunct/>
              <w:topLinePunct w:val="0"/>
              <w:autoSpaceDE/>
              <w:autoSpaceDN/>
              <w:bidi w:val="0"/>
              <w:adjustRightInd w:val="0"/>
              <w:snapToGrid w:val="0"/>
              <w:spacing w:beforeAutospacing="0" w:line="360" w:lineRule="auto"/>
              <w:ind w:left="105"/>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7</w:t>
            </w:r>
          </w:p>
        </w:tc>
        <w:tc>
          <w:tcPr>
            <w:tcW w:w="1388" w:type="dxa"/>
            <w:noWrap w:val="0"/>
            <w:tcMar>
              <w:top w:w="0" w:type="dxa"/>
              <w:left w:w="0" w:type="dxa"/>
              <w:bottom w:w="0" w:type="dxa"/>
              <w:right w:w="0" w:type="dxa"/>
            </w:tcMar>
            <w:vAlign w:val="center"/>
          </w:tcPr>
          <w:p w14:paraId="3F3ED39F">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条码阅读器（BCR）</w:t>
            </w:r>
          </w:p>
        </w:tc>
        <w:tc>
          <w:tcPr>
            <w:tcW w:w="6334" w:type="dxa"/>
            <w:noWrap w:val="0"/>
            <w:tcMar>
              <w:top w:w="0" w:type="dxa"/>
              <w:left w:w="0" w:type="dxa"/>
              <w:bottom w:w="0" w:type="dxa"/>
              <w:right w:w="0" w:type="dxa"/>
            </w:tcMar>
            <w:vAlign w:val="center"/>
          </w:tcPr>
          <w:p w14:paraId="7E4D223B">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能正确读取并识别所有体育彩票的二维码</w:t>
            </w:r>
            <w:r>
              <w:rPr>
                <w:rFonts w:hint="eastAsia" w:ascii="宋体" w:hAnsi="宋体" w:eastAsia="宋体" w:cs="宋体"/>
                <w:sz w:val="24"/>
                <w:szCs w:val="24"/>
                <w:lang w:eastAsia="zh-CN"/>
              </w:rPr>
              <w:t>。</w:t>
            </w:r>
          </w:p>
        </w:tc>
      </w:tr>
      <w:tr w14:paraId="4D88D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0" w:hRule="atLeast"/>
          <w:tblCellSpacing w:w="15" w:type="dxa"/>
          <w:jc w:val="center"/>
        </w:trPr>
        <w:tc>
          <w:tcPr>
            <w:tcW w:w="819" w:type="dxa"/>
            <w:noWrap w:val="0"/>
            <w:tcMar>
              <w:top w:w="0" w:type="dxa"/>
              <w:left w:w="0" w:type="dxa"/>
              <w:bottom w:w="0" w:type="dxa"/>
              <w:right w:w="0" w:type="dxa"/>
            </w:tcMar>
            <w:vAlign w:val="center"/>
          </w:tcPr>
          <w:p w14:paraId="42275587">
            <w:pPr>
              <w:keepNext w:val="0"/>
              <w:keepLines w:val="0"/>
              <w:pageBreakBefore w:val="0"/>
              <w:widowControl/>
              <w:kinsoku/>
              <w:wordWrap/>
              <w:overflowPunct/>
              <w:topLinePunct w:val="0"/>
              <w:autoSpaceDE/>
              <w:autoSpaceDN/>
              <w:bidi w:val="0"/>
              <w:adjustRightInd w:val="0"/>
              <w:snapToGrid w:val="0"/>
              <w:spacing w:beforeAutospacing="0" w:line="360" w:lineRule="auto"/>
              <w:ind w:left="105"/>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8</w:t>
            </w:r>
          </w:p>
        </w:tc>
        <w:tc>
          <w:tcPr>
            <w:tcW w:w="1388" w:type="dxa"/>
            <w:noWrap w:val="0"/>
            <w:tcMar>
              <w:top w:w="0" w:type="dxa"/>
              <w:left w:w="0" w:type="dxa"/>
              <w:bottom w:w="0" w:type="dxa"/>
              <w:right w:w="0" w:type="dxa"/>
            </w:tcMar>
            <w:vAlign w:val="center"/>
          </w:tcPr>
          <w:p w14:paraId="7B6D4C6D">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打印机</w:t>
            </w:r>
          </w:p>
        </w:tc>
        <w:tc>
          <w:tcPr>
            <w:tcW w:w="6334" w:type="dxa"/>
            <w:noWrap w:val="0"/>
            <w:tcMar>
              <w:top w:w="0" w:type="dxa"/>
              <w:left w:w="0" w:type="dxa"/>
              <w:bottom w:w="0" w:type="dxa"/>
              <w:right w:w="0" w:type="dxa"/>
            </w:tcMar>
            <w:vAlign w:val="center"/>
          </w:tcPr>
          <w:p w14:paraId="0ADE0448">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专用彩票直热式热敏打印机。要求：</w:t>
            </w:r>
          </w:p>
          <w:p w14:paraId="474E4121">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right="0"/>
              <w:jc w:val="left"/>
              <w:textAlignment w:val="auto"/>
              <w:rPr>
                <w:rFonts w:hint="eastAsia" w:ascii="宋体" w:hAnsi="宋体" w:eastAsia="宋体" w:cs="宋体"/>
                <w:sz w:val="24"/>
                <w:szCs w:val="24"/>
              </w:rPr>
            </w:pPr>
            <w:r>
              <w:rPr>
                <w:rFonts w:hint="eastAsia" w:ascii="宋体" w:hAnsi="宋体" w:eastAsia="宋体" w:cs="宋体"/>
                <w:sz w:val="24"/>
                <w:szCs w:val="24"/>
              </w:rPr>
              <w:t>(1)带黑标识别，支持自诊断，自动退纸;</w:t>
            </w:r>
          </w:p>
          <w:p w14:paraId="5B55B441">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right="0"/>
              <w:jc w:val="left"/>
              <w:textAlignment w:val="auto"/>
              <w:rPr>
                <w:rFonts w:hint="eastAsia" w:ascii="宋体" w:hAnsi="宋体" w:eastAsia="宋体" w:cs="宋体"/>
                <w:sz w:val="24"/>
                <w:szCs w:val="24"/>
              </w:rPr>
            </w:pPr>
            <w:r>
              <w:rPr>
                <w:rFonts w:hint="eastAsia" w:ascii="宋体" w:hAnsi="宋体" w:eastAsia="宋体" w:cs="宋体"/>
                <w:sz w:val="24"/>
                <w:szCs w:val="24"/>
              </w:rPr>
              <w:t>(2)带裁纸刀，中心半切，裁纸刀寿命≥100万次;</w:t>
            </w:r>
          </w:p>
          <w:p w14:paraId="14E8CF5A">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right="0"/>
              <w:jc w:val="left"/>
              <w:textAlignment w:val="auto"/>
              <w:rPr>
                <w:rFonts w:hint="eastAsia" w:ascii="宋体" w:hAnsi="宋体" w:eastAsia="宋体" w:cs="宋体"/>
                <w:sz w:val="24"/>
                <w:szCs w:val="24"/>
              </w:rPr>
            </w:pPr>
            <w:r>
              <w:rPr>
                <w:rFonts w:hint="eastAsia" w:ascii="宋体" w:hAnsi="宋体" w:eastAsia="宋体" w:cs="宋体"/>
                <w:sz w:val="24"/>
                <w:szCs w:val="24"/>
              </w:rPr>
              <w:t>(3)打印头寿命≥120公里；</w:t>
            </w:r>
          </w:p>
          <w:p w14:paraId="715990D1">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right="0"/>
              <w:jc w:val="left"/>
              <w:textAlignment w:val="auto"/>
              <w:rPr>
                <w:rFonts w:hint="eastAsia" w:ascii="宋体" w:hAnsi="宋体" w:eastAsia="宋体" w:cs="宋体"/>
                <w:sz w:val="24"/>
                <w:szCs w:val="24"/>
              </w:rPr>
            </w:pPr>
            <w:r>
              <w:rPr>
                <w:rFonts w:hint="eastAsia" w:ascii="宋体" w:hAnsi="宋体" w:eastAsia="宋体" w:cs="宋体"/>
                <w:sz w:val="24"/>
                <w:szCs w:val="24"/>
              </w:rPr>
              <w:t>(4)打印宽度79mm--82.5mm；</w:t>
            </w:r>
          </w:p>
          <w:p w14:paraId="39062DD1">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right="0"/>
              <w:jc w:val="left"/>
              <w:textAlignment w:val="auto"/>
              <w:rPr>
                <w:rFonts w:hint="eastAsia" w:ascii="宋体" w:hAnsi="宋体" w:eastAsia="宋体" w:cs="宋体"/>
                <w:sz w:val="24"/>
                <w:szCs w:val="24"/>
              </w:rPr>
            </w:pPr>
            <w:r>
              <w:rPr>
                <w:rFonts w:hint="eastAsia" w:ascii="宋体" w:hAnsi="宋体" w:eastAsia="宋体" w:cs="宋体"/>
                <w:sz w:val="24"/>
                <w:szCs w:val="24"/>
              </w:rPr>
              <w:t>(5) 每张票打印时间小于1秒；</w:t>
            </w:r>
          </w:p>
          <w:p w14:paraId="3A9B0F6F">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right="0"/>
              <w:jc w:val="left"/>
              <w:textAlignment w:val="auto"/>
              <w:rPr>
                <w:rFonts w:hint="eastAsia" w:ascii="宋体" w:hAnsi="宋体" w:eastAsia="宋体" w:cs="宋体"/>
                <w:color w:val="auto"/>
                <w:sz w:val="24"/>
                <w:szCs w:val="24"/>
              </w:rPr>
            </w:pPr>
            <w:r>
              <w:rPr>
                <w:rFonts w:hint="eastAsia" w:ascii="宋体" w:hAnsi="宋体" w:eastAsia="宋体" w:cs="宋体"/>
                <w:sz w:val="24"/>
                <w:szCs w:val="24"/>
              </w:rPr>
              <w:t>(6)</w:t>
            </w:r>
            <w:r>
              <w:rPr>
                <w:rFonts w:hint="eastAsia" w:ascii="宋体" w:hAnsi="宋体" w:eastAsia="宋体" w:cs="宋体"/>
                <w:color w:val="auto"/>
                <w:kern w:val="0"/>
                <w:sz w:val="24"/>
                <w:szCs w:val="24"/>
                <w:lang w:val="en-US" w:eastAsia="zh-CN"/>
              </w:rPr>
              <w:t>成功运用中体彩软件（投标方必须注明品牌型号）</w:t>
            </w:r>
            <w:r>
              <w:rPr>
                <w:rFonts w:hint="eastAsia" w:ascii="宋体" w:hAnsi="宋体" w:eastAsia="宋体" w:cs="宋体"/>
                <w:color w:val="auto"/>
                <w:kern w:val="0"/>
                <w:sz w:val="24"/>
                <w:szCs w:val="24"/>
              </w:rPr>
              <w:t>；</w:t>
            </w:r>
          </w:p>
          <w:p w14:paraId="73E33380">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(7)支持PDF417二维条码打印（模块高度ModuleHeight为 8个像素、模块宽度ModuleWidth为4个像素、内容格式为压缩二进制）。</w:t>
            </w:r>
          </w:p>
        </w:tc>
      </w:tr>
      <w:tr w14:paraId="05163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blCellSpacing w:w="15" w:type="dxa"/>
          <w:jc w:val="center"/>
        </w:trPr>
        <w:tc>
          <w:tcPr>
            <w:tcW w:w="819" w:type="dxa"/>
            <w:noWrap w:val="0"/>
            <w:tcMar>
              <w:top w:w="0" w:type="dxa"/>
              <w:left w:w="0" w:type="dxa"/>
              <w:bottom w:w="0" w:type="dxa"/>
              <w:right w:w="0" w:type="dxa"/>
            </w:tcMar>
            <w:vAlign w:val="center"/>
          </w:tcPr>
          <w:p w14:paraId="74F00AE6">
            <w:pPr>
              <w:keepNext w:val="0"/>
              <w:keepLines w:val="0"/>
              <w:pageBreakBefore w:val="0"/>
              <w:widowControl/>
              <w:kinsoku/>
              <w:wordWrap/>
              <w:overflowPunct/>
              <w:topLinePunct w:val="0"/>
              <w:autoSpaceDE/>
              <w:autoSpaceDN/>
              <w:bidi w:val="0"/>
              <w:adjustRightInd w:val="0"/>
              <w:snapToGrid w:val="0"/>
              <w:spacing w:beforeAutospacing="0" w:line="360" w:lineRule="auto"/>
              <w:ind w:left="105"/>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9</w:t>
            </w:r>
          </w:p>
        </w:tc>
        <w:tc>
          <w:tcPr>
            <w:tcW w:w="1388" w:type="dxa"/>
            <w:noWrap w:val="0"/>
            <w:tcMar>
              <w:top w:w="0" w:type="dxa"/>
              <w:left w:w="0" w:type="dxa"/>
              <w:bottom w:w="0" w:type="dxa"/>
              <w:right w:w="0" w:type="dxa"/>
            </w:tcMar>
            <w:vAlign w:val="center"/>
          </w:tcPr>
          <w:p w14:paraId="21C7A794">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分屏显示与显卡</w:t>
            </w:r>
          </w:p>
        </w:tc>
        <w:tc>
          <w:tcPr>
            <w:tcW w:w="6334" w:type="dxa"/>
            <w:noWrap w:val="0"/>
            <w:tcMar>
              <w:top w:w="0" w:type="dxa"/>
              <w:left w:w="0" w:type="dxa"/>
              <w:bottom w:w="0" w:type="dxa"/>
              <w:right w:w="0" w:type="dxa"/>
            </w:tcMar>
            <w:vAlign w:val="center"/>
          </w:tcPr>
          <w:p w14:paraId="3D7B80E9">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支持三屏显示、支持3D硬件加速（必须注明是否为独立显卡）。</w:t>
            </w:r>
          </w:p>
        </w:tc>
      </w:tr>
      <w:tr w14:paraId="0F107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0" w:hRule="atLeast"/>
          <w:tblCellSpacing w:w="15" w:type="dxa"/>
          <w:jc w:val="center"/>
        </w:trPr>
        <w:tc>
          <w:tcPr>
            <w:tcW w:w="819" w:type="dxa"/>
            <w:noWrap w:val="0"/>
            <w:tcMar>
              <w:top w:w="0" w:type="dxa"/>
              <w:left w:w="0" w:type="dxa"/>
              <w:bottom w:w="0" w:type="dxa"/>
              <w:right w:w="0" w:type="dxa"/>
            </w:tcMar>
            <w:vAlign w:val="center"/>
          </w:tcPr>
          <w:p w14:paraId="3A927A67">
            <w:pPr>
              <w:keepNext w:val="0"/>
              <w:keepLines w:val="0"/>
              <w:pageBreakBefore w:val="0"/>
              <w:widowControl/>
              <w:kinsoku/>
              <w:wordWrap/>
              <w:overflowPunct/>
              <w:topLinePunct w:val="0"/>
              <w:autoSpaceDE/>
              <w:autoSpaceDN/>
              <w:bidi w:val="0"/>
              <w:adjustRightInd w:val="0"/>
              <w:snapToGrid w:val="0"/>
              <w:spacing w:beforeAutospacing="0" w:line="360" w:lineRule="auto"/>
              <w:ind w:left="105"/>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10</w:t>
            </w:r>
          </w:p>
        </w:tc>
        <w:tc>
          <w:tcPr>
            <w:tcW w:w="1388" w:type="dxa"/>
            <w:noWrap w:val="0"/>
            <w:tcMar>
              <w:top w:w="0" w:type="dxa"/>
              <w:left w:w="0" w:type="dxa"/>
              <w:bottom w:w="0" w:type="dxa"/>
              <w:right w:w="0" w:type="dxa"/>
            </w:tcMar>
            <w:vAlign w:val="center"/>
          </w:tcPr>
          <w:p w14:paraId="4C88FD1E">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设备端口</w:t>
            </w:r>
          </w:p>
        </w:tc>
        <w:tc>
          <w:tcPr>
            <w:tcW w:w="6334" w:type="dxa"/>
            <w:noWrap w:val="0"/>
            <w:tcMar>
              <w:top w:w="0" w:type="dxa"/>
              <w:left w:w="0" w:type="dxa"/>
              <w:bottom w:w="0" w:type="dxa"/>
              <w:right w:w="0" w:type="dxa"/>
            </w:tcMar>
            <w:vAlign w:val="center"/>
          </w:tcPr>
          <w:p w14:paraId="0340EF77">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满足必备部件所需接口之外，预留备用端口数不少于4个，其中：最少3个USB 口及1个视频接口（从VGA/DVI/HDMI 中三选一）；备用PCI/PCI-E插槽1个。</w:t>
            </w:r>
          </w:p>
        </w:tc>
      </w:tr>
      <w:tr w14:paraId="0DCDC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35" w:hRule="atLeast"/>
          <w:tblCellSpacing w:w="15" w:type="dxa"/>
          <w:jc w:val="center"/>
        </w:trPr>
        <w:tc>
          <w:tcPr>
            <w:tcW w:w="819" w:type="dxa"/>
            <w:noWrap w:val="0"/>
            <w:tcMar>
              <w:top w:w="0" w:type="dxa"/>
              <w:left w:w="0" w:type="dxa"/>
              <w:bottom w:w="0" w:type="dxa"/>
              <w:right w:w="0" w:type="dxa"/>
            </w:tcMar>
            <w:vAlign w:val="center"/>
          </w:tcPr>
          <w:p w14:paraId="4E44309B">
            <w:pPr>
              <w:keepNext w:val="0"/>
              <w:keepLines w:val="0"/>
              <w:pageBreakBefore w:val="0"/>
              <w:widowControl/>
              <w:kinsoku/>
              <w:wordWrap/>
              <w:overflowPunct/>
              <w:topLinePunct w:val="0"/>
              <w:autoSpaceDE/>
              <w:autoSpaceDN/>
              <w:bidi w:val="0"/>
              <w:adjustRightInd w:val="0"/>
              <w:snapToGrid w:val="0"/>
              <w:spacing w:beforeAutospacing="0" w:line="360" w:lineRule="auto"/>
              <w:ind w:left="105"/>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11</w:t>
            </w:r>
          </w:p>
        </w:tc>
        <w:tc>
          <w:tcPr>
            <w:tcW w:w="1388" w:type="dxa"/>
            <w:noWrap w:val="0"/>
            <w:tcMar>
              <w:top w:w="0" w:type="dxa"/>
              <w:left w:w="0" w:type="dxa"/>
              <w:bottom w:w="0" w:type="dxa"/>
              <w:right w:w="0" w:type="dxa"/>
            </w:tcMar>
            <w:vAlign w:val="center"/>
          </w:tcPr>
          <w:p w14:paraId="6D3FACF9">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软件硬件相容性</w:t>
            </w:r>
          </w:p>
        </w:tc>
        <w:tc>
          <w:tcPr>
            <w:tcW w:w="6334" w:type="dxa"/>
            <w:noWrap w:val="0"/>
            <w:tcMar>
              <w:top w:w="0" w:type="dxa"/>
              <w:left w:w="0" w:type="dxa"/>
              <w:bottom w:w="0" w:type="dxa"/>
              <w:right w:w="0" w:type="dxa"/>
            </w:tcMar>
            <w:vAlign w:val="center"/>
          </w:tcPr>
          <w:p w14:paraId="40B9F4E5">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 xml:space="preserve">必须符合国家体育总局热线终端评审标准要求；必须通过中体彩公司的系统集成测试；能够运行中体彩公司的linux系统电脑体育彩票销售软件，能支持江苏体彩现有的所有彩票玩法（含财政部批准的江苏7位数玩法），能支持体彩现有的ADSL-VPN、IPsec等多种网络通信方式，能分别通过读票机与条码阅读器正确读取并识别电脑彩票与即开彩票的票面信息。 </w:t>
            </w:r>
          </w:p>
        </w:tc>
      </w:tr>
      <w:tr w14:paraId="7C65D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65" w:hRule="atLeast"/>
          <w:tblCellSpacing w:w="15" w:type="dxa"/>
          <w:jc w:val="center"/>
        </w:trPr>
        <w:tc>
          <w:tcPr>
            <w:tcW w:w="819" w:type="dxa"/>
            <w:noWrap w:val="0"/>
            <w:tcMar>
              <w:top w:w="0" w:type="dxa"/>
              <w:left w:w="0" w:type="dxa"/>
              <w:bottom w:w="0" w:type="dxa"/>
              <w:right w:w="0" w:type="dxa"/>
            </w:tcMar>
            <w:vAlign w:val="center"/>
          </w:tcPr>
          <w:p w14:paraId="6690AD06">
            <w:pPr>
              <w:keepNext w:val="0"/>
              <w:keepLines w:val="0"/>
              <w:pageBreakBefore w:val="0"/>
              <w:widowControl/>
              <w:kinsoku/>
              <w:wordWrap/>
              <w:overflowPunct/>
              <w:topLinePunct w:val="0"/>
              <w:autoSpaceDE/>
              <w:autoSpaceDN/>
              <w:bidi w:val="0"/>
              <w:adjustRightInd w:val="0"/>
              <w:snapToGrid w:val="0"/>
              <w:spacing w:beforeAutospacing="0" w:line="360" w:lineRule="auto"/>
              <w:ind w:left="105"/>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12</w:t>
            </w:r>
          </w:p>
        </w:tc>
        <w:tc>
          <w:tcPr>
            <w:tcW w:w="1388" w:type="dxa"/>
            <w:noWrap w:val="0"/>
            <w:tcMar>
              <w:top w:w="0" w:type="dxa"/>
              <w:left w:w="0" w:type="dxa"/>
              <w:bottom w:w="0" w:type="dxa"/>
              <w:right w:w="0" w:type="dxa"/>
            </w:tcMar>
            <w:vAlign w:val="center"/>
          </w:tcPr>
          <w:p w14:paraId="52D54B63">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键盘</w:t>
            </w:r>
          </w:p>
        </w:tc>
        <w:tc>
          <w:tcPr>
            <w:tcW w:w="6334" w:type="dxa"/>
            <w:noWrap w:val="0"/>
            <w:tcMar>
              <w:top w:w="0" w:type="dxa"/>
              <w:left w:w="0" w:type="dxa"/>
              <w:bottom w:w="0" w:type="dxa"/>
              <w:right w:w="0" w:type="dxa"/>
            </w:tcMar>
            <w:vAlign w:val="center"/>
          </w:tcPr>
          <w:p w14:paraId="7E7DAAE3">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≥49键标准彩票专用键盘（可编程，有键盘锁）。</w:t>
            </w:r>
          </w:p>
        </w:tc>
      </w:tr>
      <w:tr w14:paraId="0E6F3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65" w:hRule="atLeast"/>
          <w:tblCellSpacing w:w="15" w:type="dxa"/>
          <w:jc w:val="center"/>
        </w:trPr>
        <w:tc>
          <w:tcPr>
            <w:tcW w:w="819" w:type="dxa"/>
            <w:noWrap w:val="0"/>
            <w:tcMar>
              <w:top w:w="0" w:type="dxa"/>
              <w:left w:w="0" w:type="dxa"/>
              <w:bottom w:w="0" w:type="dxa"/>
              <w:right w:w="0" w:type="dxa"/>
            </w:tcMar>
            <w:vAlign w:val="center"/>
          </w:tcPr>
          <w:p w14:paraId="68B13BA8">
            <w:pPr>
              <w:keepNext w:val="0"/>
              <w:keepLines w:val="0"/>
              <w:pageBreakBefore w:val="0"/>
              <w:widowControl/>
              <w:kinsoku/>
              <w:wordWrap/>
              <w:overflowPunct/>
              <w:topLinePunct w:val="0"/>
              <w:autoSpaceDE/>
              <w:autoSpaceDN/>
              <w:bidi w:val="0"/>
              <w:adjustRightInd w:val="0"/>
              <w:snapToGrid w:val="0"/>
              <w:spacing w:beforeAutospacing="0" w:line="360" w:lineRule="auto"/>
              <w:ind w:left="105"/>
              <w:jc w:val="center"/>
              <w:textAlignment w:val="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13</w:t>
            </w:r>
          </w:p>
        </w:tc>
        <w:tc>
          <w:tcPr>
            <w:tcW w:w="1388" w:type="dxa"/>
            <w:noWrap w:val="0"/>
            <w:tcMar>
              <w:top w:w="0" w:type="dxa"/>
              <w:left w:w="0" w:type="dxa"/>
              <w:bottom w:w="0" w:type="dxa"/>
              <w:right w:w="0" w:type="dxa"/>
            </w:tcMar>
            <w:vAlign w:val="center"/>
          </w:tcPr>
          <w:p w14:paraId="4ECB39DF">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电源</w:t>
            </w:r>
          </w:p>
        </w:tc>
        <w:tc>
          <w:tcPr>
            <w:tcW w:w="6334" w:type="dxa"/>
            <w:noWrap w:val="0"/>
            <w:tcMar>
              <w:top w:w="0" w:type="dxa"/>
              <w:left w:w="0" w:type="dxa"/>
              <w:bottom w:w="0" w:type="dxa"/>
              <w:right w:w="0" w:type="dxa"/>
            </w:tcMar>
            <w:vAlign w:val="center"/>
          </w:tcPr>
          <w:p w14:paraId="60E2EFB0">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专用电源（投标方必须注明品牌型号和电源的特征参数），功率≥250W，电压适应范围180VAC～240VAC，具有过载保护功能。</w:t>
            </w:r>
          </w:p>
        </w:tc>
      </w:tr>
      <w:tr w14:paraId="0FA0F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65" w:hRule="atLeast"/>
          <w:tblCellSpacing w:w="15" w:type="dxa"/>
          <w:jc w:val="center"/>
        </w:trPr>
        <w:tc>
          <w:tcPr>
            <w:tcW w:w="819" w:type="dxa"/>
            <w:noWrap w:val="0"/>
            <w:tcMar>
              <w:top w:w="0" w:type="dxa"/>
              <w:left w:w="0" w:type="dxa"/>
              <w:bottom w:w="0" w:type="dxa"/>
              <w:right w:w="0" w:type="dxa"/>
            </w:tcMar>
            <w:vAlign w:val="center"/>
          </w:tcPr>
          <w:p w14:paraId="0E2D5B18">
            <w:pPr>
              <w:keepNext w:val="0"/>
              <w:keepLines w:val="0"/>
              <w:pageBreakBefore w:val="0"/>
              <w:widowControl/>
              <w:kinsoku/>
              <w:wordWrap/>
              <w:overflowPunct/>
              <w:topLinePunct w:val="0"/>
              <w:autoSpaceDE/>
              <w:autoSpaceDN/>
              <w:bidi w:val="0"/>
              <w:adjustRightInd w:val="0"/>
              <w:snapToGrid w:val="0"/>
              <w:spacing w:beforeAutospacing="0" w:line="360" w:lineRule="auto"/>
              <w:ind w:left="105"/>
              <w:jc w:val="center"/>
              <w:textAlignment w:val="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14</w:t>
            </w:r>
          </w:p>
        </w:tc>
        <w:tc>
          <w:tcPr>
            <w:tcW w:w="1388" w:type="dxa"/>
            <w:noWrap w:val="0"/>
            <w:tcMar>
              <w:top w:w="0" w:type="dxa"/>
              <w:left w:w="0" w:type="dxa"/>
              <w:bottom w:w="0" w:type="dxa"/>
              <w:right w:w="0" w:type="dxa"/>
            </w:tcMar>
            <w:vAlign w:val="center"/>
          </w:tcPr>
          <w:p w14:paraId="1464515E">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使用环境</w:t>
            </w:r>
          </w:p>
        </w:tc>
        <w:tc>
          <w:tcPr>
            <w:tcW w:w="6334" w:type="dxa"/>
            <w:noWrap w:val="0"/>
            <w:tcMar>
              <w:top w:w="0" w:type="dxa"/>
              <w:left w:w="0" w:type="dxa"/>
              <w:bottom w:w="0" w:type="dxa"/>
              <w:right w:w="0" w:type="dxa"/>
            </w:tcMar>
            <w:vAlign w:val="center"/>
          </w:tcPr>
          <w:p w14:paraId="20C424A3">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温度-5℃∽+50℃，相对湿度10%至90% R.H.（无凝露）。</w:t>
            </w:r>
          </w:p>
        </w:tc>
      </w:tr>
      <w:tr w14:paraId="52ECD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65" w:hRule="atLeast"/>
          <w:tblCellSpacing w:w="15" w:type="dxa"/>
          <w:jc w:val="center"/>
        </w:trPr>
        <w:tc>
          <w:tcPr>
            <w:tcW w:w="819" w:type="dxa"/>
            <w:noWrap w:val="0"/>
            <w:tcMar>
              <w:top w:w="0" w:type="dxa"/>
              <w:left w:w="0" w:type="dxa"/>
              <w:bottom w:w="0" w:type="dxa"/>
              <w:right w:w="0" w:type="dxa"/>
            </w:tcMar>
            <w:vAlign w:val="center"/>
          </w:tcPr>
          <w:p w14:paraId="0E9FD756">
            <w:pPr>
              <w:keepNext w:val="0"/>
              <w:keepLines w:val="0"/>
              <w:pageBreakBefore w:val="0"/>
              <w:widowControl/>
              <w:kinsoku/>
              <w:wordWrap/>
              <w:overflowPunct/>
              <w:topLinePunct w:val="0"/>
              <w:autoSpaceDE/>
              <w:autoSpaceDN/>
              <w:bidi w:val="0"/>
              <w:adjustRightInd w:val="0"/>
              <w:snapToGrid w:val="0"/>
              <w:spacing w:beforeAutospacing="0" w:line="360" w:lineRule="auto"/>
              <w:ind w:left="105"/>
              <w:jc w:val="center"/>
              <w:textAlignment w:val="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15</w:t>
            </w:r>
          </w:p>
        </w:tc>
        <w:tc>
          <w:tcPr>
            <w:tcW w:w="1388" w:type="dxa"/>
            <w:noWrap w:val="0"/>
            <w:tcMar>
              <w:top w:w="0" w:type="dxa"/>
              <w:left w:w="0" w:type="dxa"/>
              <w:bottom w:w="0" w:type="dxa"/>
              <w:right w:w="0" w:type="dxa"/>
            </w:tcMar>
            <w:vAlign w:val="center"/>
          </w:tcPr>
          <w:p w14:paraId="3A833DEA">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安全性与可靠性</w:t>
            </w:r>
          </w:p>
        </w:tc>
        <w:tc>
          <w:tcPr>
            <w:tcW w:w="6334" w:type="dxa"/>
            <w:noWrap w:val="0"/>
            <w:tcMar>
              <w:top w:w="0" w:type="dxa"/>
              <w:left w:w="0" w:type="dxa"/>
              <w:bottom w:w="0" w:type="dxa"/>
              <w:right w:w="0" w:type="dxa"/>
            </w:tcMar>
            <w:vAlign w:val="center"/>
          </w:tcPr>
          <w:p w14:paraId="3C9DD342">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主机箱具备有效的防火、防尘、防水措施。</w:t>
            </w:r>
          </w:p>
        </w:tc>
      </w:tr>
      <w:tr w14:paraId="25E14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65" w:hRule="atLeast"/>
          <w:tblCellSpacing w:w="15" w:type="dxa"/>
          <w:jc w:val="center"/>
        </w:trPr>
        <w:tc>
          <w:tcPr>
            <w:tcW w:w="819" w:type="dxa"/>
            <w:noWrap w:val="0"/>
            <w:tcMar>
              <w:top w:w="0" w:type="dxa"/>
              <w:left w:w="0" w:type="dxa"/>
              <w:bottom w:w="0" w:type="dxa"/>
              <w:right w:w="0" w:type="dxa"/>
            </w:tcMar>
            <w:vAlign w:val="center"/>
          </w:tcPr>
          <w:p w14:paraId="68F4BC43">
            <w:pPr>
              <w:keepNext w:val="0"/>
              <w:keepLines w:val="0"/>
              <w:pageBreakBefore w:val="0"/>
              <w:widowControl/>
              <w:kinsoku/>
              <w:wordWrap/>
              <w:overflowPunct/>
              <w:topLinePunct w:val="0"/>
              <w:autoSpaceDE/>
              <w:autoSpaceDN/>
              <w:bidi w:val="0"/>
              <w:adjustRightInd w:val="0"/>
              <w:snapToGrid w:val="0"/>
              <w:spacing w:beforeAutospacing="0" w:line="360" w:lineRule="auto"/>
              <w:ind w:left="105"/>
              <w:jc w:val="center"/>
              <w:textAlignment w:val="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16</w:t>
            </w:r>
          </w:p>
        </w:tc>
        <w:tc>
          <w:tcPr>
            <w:tcW w:w="1388" w:type="dxa"/>
            <w:noWrap w:val="0"/>
            <w:tcMar>
              <w:top w:w="0" w:type="dxa"/>
              <w:left w:w="0" w:type="dxa"/>
              <w:bottom w:w="0" w:type="dxa"/>
              <w:right w:w="0" w:type="dxa"/>
            </w:tcMar>
            <w:vAlign w:val="center"/>
          </w:tcPr>
          <w:p w14:paraId="097657E0">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整机结构合理性</w:t>
            </w:r>
          </w:p>
        </w:tc>
        <w:tc>
          <w:tcPr>
            <w:tcW w:w="6334" w:type="dxa"/>
            <w:noWrap w:val="0"/>
            <w:tcMar>
              <w:top w:w="0" w:type="dxa"/>
              <w:left w:w="0" w:type="dxa"/>
              <w:bottom w:w="0" w:type="dxa"/>
              <w:right w:w="0" w:type="dxa"/>
            </w:tcMar>
            <w:vAlign w:val="center"/>
          </w:tcPr>
          <w:p w14:paraId="70DDE034">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整体一体化，模块化设计，维护拆卸方便</w:t>
            </w:r>
          </w:p>
        </w:tc>
      </w:tr>
      <w:tr w14:paraId="6D628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65" w:hRule="atLeast"/>
          <w:tblCellSpacing w:w="15" w:type="dxa"/>
          <w:jc w:val="center"/>
        </w:trPr>
        <w:tc>
          <w:tcPr>
            <w:tcW w:w="819" w:type="dxa"/>
            <w:noWrap w:val="0"/>
            <w:tcMar>
              <w:top w:w="0" w:type="dxa"/>
              <w:left w:w="0" w:type="dxa"/>
              <w:bottom w:w="0" w:type="dxa"/>
              <w:right w:w="0" w:type="dxa"/>
            </w:tcMar>
            <w:vAlign w:val="center"/>
          </w:tcPr>
          <w:p w14:paraId="7BB17046">
            <w:pPr>
              <w:keepNext w:val="0"/>
              <w:keepLines w:val="0"/>
              <w:pageBreakBefore w:val="0"/>
              <w:widowControl/>
              <w:kinsoku/>
              <w:wordWrap/>
              <w:overflowPunct/>
              <w:topLinePunct w:val="0"/>
              <w:autoSpaceDE/>
              <w:autoSpaceDN/>
              <w:bidi w:val="0"/>
              <w:adjustRightInd w:val="0"/>
              <w:snapToGrid w:val="0"/>
              <w:spacing w:beforeAutospacing="0" w:line="360" w:lineRule="auto"/>
              <w:ind w:left="105"/>
              <w:jc w:val="center"/>
              <w:textAlignment w:val="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17</w:t>
            </w:r>
          </w:p>
        </w:tc>
        <w:tc>
          <w:tcPr>
            <w:tcW w:w="1388" w:type="dxa"/>
            <w:noWrap w:val="0"/>
            <w:tcMar>
              <w:top w:w="0" w:type="dxa"/>
              <w:left w:w="0" w:type="dxa"/>
              <w:bottom w:w="0" w:type="dxa"/>
              <w:right w:w="0" w:type="dxa"/>
            </w:tcMar>
            <w:vAlign w:val="center"/>
          </w:tcPr>
          <w:p w14:paraId="51863A1D">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可靠性要求</w:t>
            </w:r>
          </w:p>
        </w:tc>
        <w:tc>
          <w:tcPr>
            <w:tcW w:w="6334" w:type="dxa"/>
            <w:noWrap w:val="0"/>
            <w:tcMar>
              <w:top w:w="0" w:type="dxa"/>
              <w:left w:w="0" w:type="dxa"/>
              <w:bottom w:w="0" w:type="dxa"/>
              <w:right w:w="0" w:type="dxa"/>
            </w:tcMar>
            <w:vAlign w:val="center"/>
          </w:tcPr>
          <w:p w14:paraId="64BCB883">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right="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键盘击打次数大于1000万次，键盘防水。 </w:t>
            </w:r>
          </w:p>
          <w:p w14:paraId="7B88945F">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right="0"/>
              <w:jc w:val="left"/>
              <w:textAlignment w:val="auto"/>
              <w:rPr>
                <w:rFonts w:hint="eastAsia" w:ascii="宋体" w:hAnsi="宋体" w:eastAsia="宋体" w:cs="宋体"/>
                <w:sz w:val="24"/>
                <w:szCs w:val="24"/>
              </w:rPr>
            </w:pPr>
            <w:r>
              <w:rPr>
                <w:rFonts w:hint="eastAsia" w:ascii="宋体" w:hAnsi="宋体" w:eastAsia="宋体" w:cs="宋体"/>
                <w:sz w:val="24"/>
                <w:szCs w:val="24"/>
              </w:rPr>
              <w:t>打印机的打印头使用寿命不少于120公里，裁纸刀使用寿命不少于100万次 。</w:t>
            </w:r>
          </w:p>
          <w:p w14:paraId="10B585ED">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right="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主机电源要有过载保护和防浪涌冲击功能。 </w:t>
            </w:r>
          </w:p>
          <w:p w14:paraId="64B661DA">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right="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电子存储设备要有防静电击穿功能。 </w:t>
            </w:r>
          </w:p>
          <w:p w14:paraId="1F2181B7">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right="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主板： MTBF≥20000小时。 </w:t>
            </w:r>
          </w:p>
          <w:p w14:paraId="6E45F923">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right="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电源： MTBF≥20000小时。 </w:t>
            </w:r>
          </w:p>
          <w:p w14:paraId="2FF9A5DD">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right="0"/>
              <w:jc w:val="left"/>
              <w:textAlignment w:val="auto"/>
              <w:rPr>
                <w:rFonts w:hint="eastAsia" w:ascii="宋体" w:hAnsi="宋体" w:eastAsia="宋体" w:cs="宋体"/>
                <w:sz w:val="24"/>
                <w:szCs w:val="24"/>
              </w:rPr>
            </w:pPr>
            <w:r>
              <w:rPr>
                <w:rFonts w:hint="eastAsia" w:ascii="宋体" w:hAnsi="宋体" w:eastAsia="宋体" w:cs="宋体"/>
                <w:sz w:val="24"/>
                <w:szCs w:val="24"/>
              </w:rPr>
              <w:t>整机： MTBF≥5000小时。</w:t>
            </w:r>
          </w:p>
          <w:p w14:paraId="1FA0B9EF">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rPr>
              <w:t>读票机：MCBF&gt;200万张票；误码率&lt;0.1%，卡纸率&lt;0.1%。</w:t>
            </w:r>
          </w:p>
        </w:tc>
      </w:tr>
    </w:tbl>
    <w:p w14:paraId="02EFA368">
      <w:pPr>
        <w:spacing w:line="520" w:lineRule="exact"/>
        <w:ind w:firstLine="482" w:firstLineChars="200"/>
        <w:rPr>
          <w:b/>
          <w:sz w:val="24"/>
          <w:szCs w:val="24"/>
          <w:highlight w:val="none"/>
        </w:rPr>
      </w:pPr>
      <w:r>
        <w:rPr>
          <w:rFonts w:hint="eastAsia"/>
          <w:b/>
          <w:sz w:val="24"/>
          <w:szCs w:val="24"/>
          <w:highlight w:val="none"/>
        </w:rPr>
        <w:t>三．商务要求</w:t>
      </w:r>
    </w:p>
    <w:p w14:paraId="50C5225F">
      <w:pPr>
        <w:spacing w:line="520" w:lineRule="exact"/>
        <w:ind w:firstLine="482" w:firstLineChars="200"/>
        <w:rPr>
          <w:b/>
          <w:sz w:val="24"/>
          <w:szCs w:val="24"/>
          <w:highlight w:val="none"/>
        </w:rPr>
      </w:pPr>
      <w:r>
        <w:rPr>
          <w:rFonts w:hint="eastAsia"/>
          <w:b/>
          <w:sz w:val="24"/>
          <w:szCs w:val="24"/>
          <w:highlight w:val="none"/>
        </w:rPr>
        <w:t>1．</w:t>
      </w:r>
      <w:r>
        <w:rPr>
          <w:rFonts w:hint="default" w:ascii="Times New Roman" w:hAnsi="Times New Roman" w:eastAsia="宋体" w:cs="Times New Roman"/>
          <w:b/>
          <w:sz w:val="24"/>
          <w:szCs w:val="24"/>
          <w:highlight w:val="none"/>
        </w:rPr>
        <w:t>培训服务</w:t>
      </w:r>
    </w:p>
    <w:p w14:paraId="06758853">
      <w:pPr>
        <w:spacing w:line="520" w:lineRule="exact"/>
        <w:ind w:firstLine="480" w:firstLineChars="200"/>
        <w:rPr>
          <w:sz w:val="24"/>
          <w:szCs w:val="24"/>
          <w:highlight w:val="none"/>
        </w:rPr>
      </w:pPr>
      <w:bookmarkStart w:id="183" w:name="OLE_LINK3"/>
      <w:r>
        <w:rPr>
          <w:rFonts w:hint="default" w:ascii="Times New Roman" w:hAnsi="Times New Roman" w:eastAsia="宋体" w:cs="Times New Roman"/>
          <w:sz w:val="24"/>
          <w:szCs w:val="24"/>
          <w:highlight w:val="none"/>
        </w:rPr>
        <w:t>供应商对使用方人员进行培训（培训地点由省体彩中心以及使用该机型的地市体彩中心指定），培训内容应包含终端机整体介绍、技术特性、部件性能、工作原理、使用方法、整机拆装、常见问题判断及解决方法、维护保养、注意事项等，确保使用方人员对终端机技术性能充分了解，熟练掌握终端机拆解、安装方法，掌握终端机日常维护保养方法，熟练掌握常见故障的判断和排除方法。培训方式一般采用现场培训。投标人在标书中应提出培训方案和培训内容。</w:t>
      </w:r>
      <w:bookmarkEnd w:id="183"/>
    </w:p>
    <w:p w14:paraId="0996C88A">
      <w:pPr>
        <w:spacing w:line="520" w:lineRule="exact"/>
        <w:ind w:firstLine="482" w:firstLineChars="200"/>
        <w:rPr>
          <w:b/>
          <w:sz w:val="24"/>
          <w:szCs w:val="24"/>
          <w:highlight w:val="none"/>
        </w:rPr>
      </w:pPr>
      <w:r>
        <w:rPr>
          <w:rFonts w:hint="eastAsia"/>
          <w:b/>
          <w:sz w:val="24"/>
          <w:szCs w:val="24"/>
          <w:highlight w:val="none"/>
        </w:rPr>
        <w:t>2．质保期</w:t>
      </w:r>
    </w:p>
    <w:p w14:paraId="1D25C9EF">
      <w:pPr>
        <w:spacing w:line="520" w:lineRule="exact"/>
        <w:ind w:firstLine="480" w:firstLineChars="200"/>
        <w:rPr>
          <w:i/>
          <w:sz w:val="24"/>
          <w:szCs w:val="24"/>
          <w:highlight w:val="none"/>
          <w:u w:val="single"/>
        </w:rPr>
      </w:pPr>
      <w:r>
        <w:rPr>
          <w:rFonts w:hint="eastAsia"/>
          <w:sz w:val="24"/>
          <w:szCs w:val="24"/>
          <w:highlight w:val="none"/>
        </w:rPr>
        <w:t>2.1</w:t>
      </w:r>
      <w:r>
        <w:rPr>
          <w:rFonts w:hint="eastAsia"/>
          <w:i/>
          <w:sz w:val="24"/>
          <w:szCs w:val="24"/>
          <w:highlight w:val="none"/>
          <w:u w:val="single"/>
        </w:rPr>
        <w:t>供应商必须提供不低于</w:t>
      </w:r>
      <w:r>
        <w:rPr>
          <w:rFonts w:hint="eastAsia"/>
          <w:i/>
          <w:sz w:val="24"/>
          <w:szCs w:val="24"/>
          <w:highlight w:val="none"/>
          <w:u w:val="single"/>
          <w:lang w:val="en-US" w:eastAsia="zh-CN"/>
        </w:rPr>
        <w:t>六</w:t>
      </w:r>
      <w:r>
        <w:rPr>
          <w:rFonts w:hint="eastAsia"/>
          <w:i/>
          <w:sz w:val="24"/>
          <w:szCs w:val="24"/>
          <w:highlight w:val="none"/>
          <w:u w:val="single"/>
        </w:rPr>
        <w:t>年的免费保修，保修期从验收结束之后开始计算。</w:t>
      </w:r>
    </w:p>
    <w:p w14:paraId="0414EB10">
      <w:pPr>
        <w:spacing w:line="520" w:lineRule="exact"/>
        <w:ind w:firstLine="480" w:firstLineChars="200"/>
        <w:rPr>
          <w:sz w:val="24"/>
          <w:szCs w:val="24"/>
          <w:highlight w:val="none"/>
        </w:rPr>
      </w:pPr>
      <w:r>
        <w:rPr>
          <w:rFonts w:hint="eastAsia"/>
          <w:sz w:val="24"/>
          <w:szCs w:val="24"/>
          <w:highlight w:val="none"/>
        </w:rPr>
        <w:t>2.2保修期内因不能排除的故障而影响工作的情况每发生一次，其保修期相应延长60天，保修期内，供应商负责对其提供的设备进行维修和更换，不收取任何费用。保修时间及服务内容、维修备件等情况需写在投标文件中。</w:t>
      </w:r>
    </w:p>
    <w:p w14:paraId="58C6405D">
      <w:pPr>
        <w:spacing w:line="520" w:lineRule="exact"/>
        <w:ind w:firstLine="480" w:firstLineChars="200"/>
        <w:rPr>
          <w:sz w:val="24"/>
          <w:szCs w:val="24"/>
          <w:highlight w:val="none"/>
        </w:rPr>
      </w:pPr>
      <w:r>
        <w:rPr>
          <w:rFonts w:hint="eastAsia"/>
          <w:sz w:val="24"/>
          <w:szCs w:val="24"/>
          <w:highlight w:val="none"/>
        </w:rPr>
        <w:t>2.3 超过保修期的机器设备，终生维修，维修时只收部件成本费。</w:t>
      </w:r>
    </w:p>
    <w:p w14:paraId="51BAE4EB">
      <w:pPr>
        <w:spacing w:line="520" w:lineRule="exact"/>
        <w:ind w:firstLine="482" w:firstLineChars="200"/>
        <w:rPr>
          <w:b/>
          <w:sz w:val="24"/>
          <w:szCs w:val="24"/>
          <w:highlight w:val="none"/>
        </w:rPr>
      </w:pPr>
      <w:r>
        <w:rPr>
          <w:rFonts w:hint="eastAsia"/>
          <w:b/>
          <w:sz w:val="24"/>
          <w:szCs w:val="24"/>
          <w:highlight w:val="none"/>
        </w:rPr>
        <w:t>3．售后技术服务要求</w:t>
      </w:r>
    </w:p>
    <w:p w14:paraId="032FA31C">
      <w:pPr>
        <w:spacing w:line="520" w:lineRule="exact"/>
        <w:ind w:firstLine="480" w:firstLineChars="200"/>
        <w:rPr>
          <w:sz w:val="24"/>
          <w:szCs w:val="24"/>
          <w:highlight w:val="none"/>
        </w:rPr>
      </w:pPr>
      <w:r>
        <w:rPr>
          <w:rFonts w:hint="eastAsia"/>
          <w:sz w:val="24"/>
          <w:szCs w:val="24"/>
          <w:highlight w:val="none"/>
        </w:rPr>
        <w:t>3.1</w:t>
      </w:r>
      <w:r>
        <w:rPr>
          <w:rFonts w:hint="eastAsia"/>
          <w:i/>
          <w:sz w:val="24"/>
          <w:szCs w:val="24"/>
          <w:highlight w:val="none"/>
          <w:u w:val="single"/>
        </w:rPr>
        <w:t>供应商必须明确承诺，若在本次招标中中标，将在合同生效2个月内在</w:t>
      </w:r>
      <w:r>
        <w:rPr>
          <w:rFonts w:hint="eastAsia"/>
          <w:i/>
          <w:sz w:val="24"/>
          <w:szCs w:val="24"/>
          <w:highlight w:val="none"/>
          <w:u w:val="single"/>
          <w:lang w:val="en-US" w:eastAsia="zh-CN"/>
        </w:rPr>
        <w:t>江苏</w:t>
      </w:r>
      <w:r>
        <w:rPr>
          <w:rFonts w:hint="eastAsia"/>
          <w:i/>
          <w:sz w:val="24"/>
          <w:szCs w:val="24"/>
          <w:highlight w:val="none"/>
          <w:u w:val="single"/>
        </w:rPr>
        <w:t>设有中标终端机本地维修服务站（已在江苏地区设立服务站的，提供相关证明资料），</w:t>
      </w:r>
      <w:r>
        <w:rPr>
          <w:rFonts w:hint="eastAsia"/>
          <w:i/>
          <w:sz w:val="24"/>
          <w:szCs w:val="24"/>
          <w:highlight w:val="none"/>
          <w:u w:val="single"/>
          <w:lang w:val="en-US" w:eastAsia="zh-CN"/>
        </w:rPr>
        <w:t>并配置专职的服务人员。</w:t>
      </w:r>
      <w:r>
        <w:rPr>
          <w:rFonts w:hint="eastAsia"/>
          <w:i/>
          <w:sz w:val="24"/>
          <w:szCs w:val="24"/>
          <w:highlight w:val="none"/>
          <w:u w:val="single"/>
        </w:rPr>
        <w:t>提供价值中标合同总金额5%的维修备件（产权归中标供应商，采购人有使用权及分配权），本地维修服务站应另外确保一定数量的库存备件，以保障备件及时交换。</w:t>
      </w:r>
    </w:p>
    <w:p w14:paraId="36DA20A4">
      <w:pPr>
        <w:spacing w:line="520" w:lineRule="exact"/>
        <w:ind w:firstLine="480" w:firstLineChars="200"/>
        <w:rPr>
          <w:color w:val="auto"/>
          <w:sz w:val="24"/>
          <w:szCs w:val="24"/>
          <w:highlight w:val="none"/>
        </w:rPr>
      </w:pPr>
      <w:r>
        <w:rPr>
          <w:rFonts w:hint="eastAsia"/>
          <w:sz w:val="24"/>
          <w:szCs w:val="24"/>
          <w:highlight w:val="none"/>
        </w:rPr>
        <w:t>3.2</w:t>
      </w:r>
      <w:r>
        <w:rPr>
          <w:rFonts w:hint="eastAsia"/>
          <w:i/>
          <w:sz w:val="24"/>
          <w:szCs w:val="24"/>
          <w:highlight w:val="none"/>
          <w:u w:val="single"/>
        </w:rPr>
        <w:t>供应商必须提供维修部件规格、单价、保外维修费用清单</w:t>
      </w:r>
      <w:r>
        <w:rPr>
          <w:rFonts w:hint="eastAsia"/>
          <w:sz w:val="24"/>
          <w:szCs w:val="24"/>
          <w:highlight w:val="none"/>
        </w:rPr>
        <w:t>。</w:t>
      </w:r>
      <w:r>
        <w:rPr>
          <w:rFonts w:hint="eastAsia"/>
          <w:color w:val="auto"/>
          <w:sz w:val="24"/>
          <w:szCs w:val="24"/>
          <w:highlight w:val="none"/>
        </w:rPr>
        <w:t>供应商提供的维修部件应包含主板（含CPU、主存、内存）、</w:t>
      </w:r>
      <w:r>
        <w:rPr>
          <w:rFonts w:hint="eastAsia"/>
          <w:color w:val="auto"/>
          <w:sz w:val="24"/>
          <w:szCs w:val="24"/>
          <w:highlight w:val="none"/>
          <w:lang w:val="en-US" w:eastAsia="zh-CN"/>
        </w:rPr>
        <w:t>显示器、</w:t>
      </w:r>
      <w:r>
        <w:rPr>
          <w:rFonts w:hint="eastAsia"/>
          <w:color w:val="auto"/>
          <w:sz w:val="24"/>
          <w:szCs w:val="24"/>
          <w:highlight w:val="none"/>
        </w:rPr>
        <w:t>打印机、</w:t>
      </w:r>
      <w:r>
        <w:rPr>
          <w:rFonts w:hint="eastAsia"/>
          <w:color w:val="auto"/>
          <w:sz w:val="24"/>
          <w:szCs w:val="24"/>
          <w:highlight w:val="none"/>
          <w:lang w:val="en-US" w:eastAsia="zh-CN"/>
        </w:rPr>
        <w:t>读票机、键盘、</w:t>
      </w:r>
      <w:r>
        <w:rPr>
          <w:rFonts w:hint="eastAsia"/>
          <w:color w:val="auto"/>
          <w:sz w:val="24"/>
          <w:szCs w:val="24"/>
          <w:highlight w:val="none"/>
        </w:rPr>
        <w:t>BCR、电源，价格总额不能超过整机报价的150%。</w:t>
      </w:r>
    </w:p>
    <w:p w14:paraId="78253B5F">
      <w:pPr>
        <w:spacing w:line="520" w:lineRule="exact"/>
        <w:ind w:firstLine="480" w:firstLineChars="200"/>
        <w:rPr>
          <w:sz w:val="24"/>
          <w:szCs w:val="24"/>
          <w:highlight w:val="none"/>
        </w:rPr>
      </w:pPr>
      <w:r>
        <w:rPr>
          <w:rFonts w:hint="eastAsia"/>
          <w:sz w:val="24"/>
          <w:szCs w:val="24"/>
          <w:highlight w:val="none"/>
        </w:rPr>
        <w:t>3.3</w:t>
      </w:r>
      <w:r>
        <w:rPr>
          <w:rFonts w:hint="eastAsia"/>
          <w:i/>
          <w:sz w:val="24"/>
          <w:szCs w:val="24"/>
          <w:highlight w:val="none"/>
          <w:u w:val="single"/>
        </w:rPr>
        <w:t>供应商须提供维修零件的单价和维修费用清单，单一部件中的零件的总价不能超过该部件的价格。</w:t>
      </w:r>
      <w:r>
        <w:rPr>
          <w:rFonts w:hint="eastAsia"/>
          <w:sz w:val="24"/>
          <w:szCs w:val="24"/>
          <w:highlight w:val="none"/>
        </w:rPr>
        <w:t>维修零件应为设备维修时最小单位，包含且不限于热敏头、进纸传感器、切刀、打印机主控板、电机、黑标传感器、打印胶辊、各类盖板、各类线缆等。</w:t>
      </w:r>
    </w:p>
    <w:p w14:paraId="1091705B">
      <w:pPr>
        <w:spacing w:line="520" w:lineRule="exact"/>
        <w:ind w:firstLine="480" w:firstLineChars="200"/>
        <w:rPr>
          <w:sz w:val="24"/>
          <w:szCs w:val="24"/>
          <w:highlight w:val="none"/>
        </w:rPr>
      </w:pPr>
      <w:r>
        <w:rPr>
          <w:rFonts w:hint="eastAsia"/>
          <w:sz w:val="24"/>
          <w:szCs w:val="24"/>
          <w:highlight w:val="none"/>
        </w:rPr>
        <w:t>3.4本地维修服务站的场地、设备、人员、备件运输、通信等费用均由中标供应商自行解决。</w:t>
      </w:r>
    </w:p>
    <w:p w14:paraId="2BA53E06">
      <w:pPr>
        <w:spacing w:line="520" w:lineRule="exact"/>
        <w:ind w:firstLine="480" w:firstLineChars="200"/>
        <w:rPr>
          <w:sz w:val="24"/>
          <w:szCs w:val="24"/>
          <w:highlight w:val="none"/>
        </w:rPr>
      </w:pPr>
      <w:r>
        <w:rPr>
          <w:rFonts w:hint="eastAsia"/>
          <w:sz w:val="24"/>
          <w:szCs w:val="24"/>
          <w:highlight w:val="none"/>
        </w:rPr>
        <w:t>3.5供应商在接到采购人维修要求后立即做出回应，24小时内完成维修处理，如遇无法维修的故障件，需在 2个工作日内用同品牌、同规格的备件进行更换处理。</w:t>
      </w:r>
    </w:p>
    <w:p w14:paraId="765C6ED1">
      <w:pPr>
        <w:spacing w:line="520" w:lineRule="exact"/>
        <w:ind w:firstLine="480" w:firstLineChars="200"/>
        <w:rPr>
          <w:sz w:val="24"/>
          <w:szCs w:val="24"/>
          <w:highlight w:val="none"/>
        </w:rPr>
      </w:pPr>
      <w:r>
        <w:rPr>
          <w:rFonts w:hint="eastAsia"/>
          <w:sz w:val="24"/>
          <w:szCs w:val="24"/>
          <w:highlight w:val="none"/>
        </w:rPr>
        <w:t>3.6中标供应商须按照采购人的管理规定并使用采购人的管理系统进行维修配件的交换、维修、费用报销等过程。</w:t>
      </w:r>
    </w:p>
    <w:p w14:paraId="12438E37">
      <w:pPr>
        <w:spacing w:line="520" w:lineRule="exact"/>
        <w:ind w:firstLine="480" w:firstLineChars="200"/>
        <w:rPr>
          <w:sz w:val="24"/>
          <w:szCs w:val="24"/>
          <w:highlight w:val="none"/>
        </w:rPr>
      </w:pPr>
      <w:r>
        <w:rPr>
          <w:rFonts w:hint="eastAsia"/>
          <w:sz w:val="24"/>
          <w:szCs w:val="24"/>
          <w:highlight w:val="none"/>
        </w:rPr>
        <w:t>3.7中标终端机设备停产前，至少提前1个月书面通知采购人，且该设备停产后仍需保证至少5年的备件供应。</w:t>
      </w:r>
    </w:p>
    <w:p w14:paraId="59770763">
      <w:pPr>
        <w:spacing w:line="520" w:lineRule="exact"/>
        <w:ind w:firstLine="482" w:firstLineChars="200"/>
        <w:rPr>
          <w:b/>
          <w:sz w:val="24"/>
          <w:szCs w:val="24"/>
          <w:highlight w:val="none"/>
        </w:rPr>
      </w:pPr>
      <w:r>
        <w:rPr>
          <w:rFonts w:hint="eastAsia"/>
          <w:b/>
          <w:sz w:val="24"/>
          <w:szCs w:val="24"/>
          <w:highlight w:val="none"/>
        </w:rPr>
        <w:t>4</w:t>
      </w:r>
      <w:r>
        <w:rPr>
          <w:b/>
          <w:sz w:val="24"/>
          <w:szCs w:val="24"/>
          <w:highlight w:val="none"/>
        </w:rPr>
        <w:t xml:space="preserve">. </w:t>
      </w:r>
      <w:r>
        <w:rPr>
          <w:rFonts w:hint="eastAsia"/>
          <w:b/>
          <w:sz w:val="24"/>
          <w:szCs w:val="24"/>
          <w:highlight w:val="none"/>
        </w:rPr>
        <w:t>应急服务要求</w:t>
      </w:r>
    </w:p>
    <w:p w14:paraId="0D6AFDC7">
      <w:pPr>
        <w:widowControl/>
        <w:spacing w:line="480" w:lineRule="auto"/>
        <w:ind w:firstLine="480" w:firstLineChars="200"/>
        <w:rPr>
          <w:rFonts w:ascii="宋体" w:hAnsi="宋体"/>
          <w:sz w:val="24"/>
          <w:szCs w:val="24"/>
          <w:highlight w:val="none"/>
        </w:rPr>
      </w:pPr>
      <w:r>
        <w:rPr>
          <w:rFonts w:hint="eastAsia"/>
          <w:sz w:val="24"/>
          <w:szCs w:val="24"/>
          <w:highlight w:val="none"/>
        </w:rPr>
        <w:t>4</w:t>
      </w:r>
      <w:r>
        <w:rPr>
          <w:sz w:val="24"/>
          <w:szCs w:val="24"/>
          <w:highlight w:val="none"/>
        </w:rPr>
        <w:t>.1供应商</w:t>
      </w:r>
      <w:r>
        <w:rPr>
          <w:rFonts w:hint="eastAsia" w:ascii="宋体" w:hAnsi="宋体"/>
          <w:sz w:val="24"/>
          <w:szCs w:val="24"/>
          <w:highlight w:val="none"/>
        </w:rPr>
        <w:t>应有应急工作组，专门负责处理应急事件。</w:t>
      </w:r>
      <w:r>
        <w:rPr>
          <w:sz w:val="24"/>
          <w:szCs w:val="24"/>
          <w:highlight w:val="none"/>
        </w:rPr>
        <w:t>供应商</w:t>
      </w:r>
      <w:r>
        <w:rPr>
          <w:rFonts w:hint="eastAsia" w:ascii="宋体" w:hAnsi="宋体"/>
          <w:sz w:val="24"/>
          <w:szCs w:val="24"/>
          <w:highlight w:val="none"/>
        </w:rPr>
        <w:t>明确专人负责响应应急事件。</w:t>
      </w:r>
    </w:p>
    <w:p w14:paraId="1963D6AF">
      <w:pPr>
        <w:widowControl/>
        <w:spacing w:line="480" w:lineRule="auto"/>
        <w:ind w:firstLine="480" w:firstLineChars="200"/>
        <w:rPr>
          <w:rFonts w:ascii="宋体" w:hAnsi="宋体"/>
          <w:sz w:val="24"/>
          <w:szCs w:val="24"/>
          <w:highlight w:val="none"/>
        </w:rPr>
      </w:pPr>
      <w:r>
        <w:rPr>
          <w:rFonts w:hint="eastAsia"/>
          <w:sz w:val="24"/>
          <w:szCs w:val="24"/>
          <w:highlight w:val="none"/>
        </w:rPr>
        <w:t>4</w:t>
      </w:r>
      <w:r>
        <w:rPr>
          <w:sz w:val="24"/>
          <w:szCs w:val="24"/>
          <w:highlight w:val="none"/>
        </w:rPr>
        <w:t>.2</w:t>
      </w:r>
      <w:r>
        <w:rPr>
          <w:rFonts w:hint="eastAsia" w:ascii="宋体" w:hAnsi="宋体"/>
          <w:sz w:val="24"/>
          <w:szCs w:val="24"/>
          <w:highlight w:val="none"/>
        </w:rPr>
        <w:t>供应商应明确应急事件内容，应急事件至少应包含大批量终端机发生故障并对彩票交易业务产生影响相关内容，如大批量终端机无法开机、无法打印、无法显示、无法通过扫描枪读票、无法兑奖等。</w:t>
      </w:r>
    </w:p>
    <w:p w14:paraId="1C927BBC">
      <w:pPr>
        <w:widowControl/>
        <w:spacing w:line="480" w:lineRule="auto"/>
        <w:ind w:firstLine="480" w:firstLineChars="200"/>
        <w:rPr>
          <w:rFonts w:ascii="宋体" w:hAnsi="宋体"/>
          <w:sz w:val="24"/>
          <w:szCs w:val="24"/>
          <w:highlight w:val="none"/>
        </w:rPr>
      </w:pPr>
      <w:r>
        <w:rPr>
          <w:rFonts w:hint="eastAsia"/>
          <w:sz w:val="24"/>
          <w:szCs w:val="24"/>
          <w:highlight w:val="none"/>
        </w:rPr>
        <w:t>4</w:t>
      </w:r>
      <w:r>
        <w:rPr>
          <w:sz w:val="24"/>
          <w:szCs w:val="24"/>
          <w:highlight w:val="none"/>
        </w:rPr>
        <w:t>.3</w:t>
      </w:r>
      <w:r>
        <w:rPr>
          <w:rFonts w:hint="eastAsia" w:ascii="宋体" w:hAnsi="宋体"/>
          <w:sz w:val="24"/>
          <w:szCs w:val="24"/>
          <w:highlight w:val="none"/>
        </w:rPr>
        <w:t>发生应急事件，供应商应1</w:t>
      </w:r>
      <w:r>
        <w:rPr>
          <w:rFonts w:ascii="宋体" w:hAnsi="宋体"/>
          <w:sz w:val="24"/>
          <w:szCs w:val="24"/>
          <w:highlight w:val="none"/>
        </w:rPr>
        <w:t>0</w:t>
      </w:r>
      <w:r>
        <w:rPr>
          <w:rFonts w:hint="eastAsia" w:ascii="宋体" w:hAnsi="宋体"/>
          <w:sz w:val="24"/>
          <w:szCs w:val="24"/>
          <w:highlight w:val="none"/>
        </w:rPr>
        <w:t>分钟内响应，1小时内到达现场，2小时内给出合理的解决方案，每2小时通报应急解决情况。没有按要求做好应急响应或应急事件处置不当的，采购人有权要求供应商按照应急事件造成的损失进行一定的赔偿。</w:t>
      </w:r>
    </w:p>
    <w:p w14:paraId="35976121">
      <w:pPr>
        <w:widowControl/>
        <w:spacing w:line="480" w:lineRule="auto"/>
        <w:ind w:firstLine="480" w:firstLineChars="200"/>
        <w:rPr>
          <w:rFonts w:ascii="宋体" w:hAnsi="宋体"/>
          <w:sz w:val="24"/>
          <w:szCs w:val="24"/>
          <w:highlight w:val="none"/>
        </w:rPr>
      </w:pPr>
      <w:r>
        <w:rPr>
          <w:rFonts w:hint="eastAsia"/>
          <w:sz w:val="24"/>
          <w:szCs w:val="24"/>
          <w:highlight w:val="none"/>
        </w:rPr>
        <w:t>4</w:t>
      </w:r>
      <w:r>
        <w:rPr>
          <w:sz w:val="24"/>
          <w:szCs w:val="24"/>
          <w:highlight w:val="none"/>
        </w:rPr>
        <w:t>.4</w:t>
      </w:r>
      <w:r>
        <w:rPr>
          <w:rFonts w:hint="eastAsia" w:ascii="宋体" w:hAnsi="宋体"/>
          <w:sz w:val="24"/>
          <w:szCs w:val="24"/>
          <w:highlight w:val="none"/>
        </w:rPr>
        <w:t>应急事件解决后，供应商应在三个工作日内提交应急事件故障报告，说明故障原因和改进措施。</w:t>
      </w:r>
    </w:p>
    <w:p w14:paraId="063D958E">
      <w:pPr>
        <w:spacing w:line="520" w:lineRule="exact"/>
        <w:ind w:firstLine="482" w:firstLineChars="200"/>
        <w:rPr>
          <w:b/>
          <w:sz w:val="24"/>
          <w:szCs w:val="24"/>
          <w:highlight w:val="none"/>
        </w:rPr>
      </w:pPr>
      <w:r>
        <w:rPr>
          <w:rFonts w:hint="eastAsia"/>
          <w:b/>
          <w:sz w:val="24"/>
          <w:szCs w:val="24"/>
          <w:highlight w:val="none"/>
        </w:rPr>
        <w:t>5．交货期、交货方式及交货地点</w:t>
      </w:r>
    </w:p>
    <w:p w14:paraId="13BC8C08">
      <w:pPr>
        <w:spacing w:line="520" w:lineRule="exact"/>
        <w:ind w:firstLine="480" w:firstLineChars="200"/>
        <w:rPr>
          <w:rFonts w:hint="eastAsia"/>
          <w:sz w:val="24"/>
          <w:szCs w:val="24"/>
          <w:highlight w:val="none"/>
        </w:rPr>
      </w:pPr>
      <w:r>
        <w:rPr>
          <w:rFonts w:hint="eastAsia"/>
          <w:sz w:val="24"/>
          <w:szCs w:val="24"/>
          <w:highlight w:val="none"/>
        </w:rPr>
        <w:t>5.1所有设备根据江苏省体育彩票管理中心实际需求分批次按时保质发货至采购人指定地点，最迟在合同签订后</w:t>
      </w:r>
      <w:r>
        <w:rPr>
          <w:sz w:val="24"/>
          <w:szCs w:val="24"/>
          <w:highlight w:val="none"/>
        </w:rPr>
        <w:t>45</w:t>
      </w:r>
      <w:r>
        <w:rPr>
          <w:rFonts w:hint="eastAsia"/>
          <w:sz w:val="24"/>
          <w:szCs w:val="24"/>
          <w:highlight w:val="none"/>
        </w:rPr>
        <w:t>天内完成供货，并保证系统集成、安装调试交付采购人验收通过。</w:t>
      </w:r>
    </w:p>
    <w:p w14:paraId="44DD77BC">
      <w:pPr>
        <w:spacing w:line="520" w:lineRule="exact"/>
        <w:ind w:firstLine="480" w:firstLineChars="200"/>
        <w:rPr>
          <w:rFonts w:hint="eastAsia"/>
          <w:sz w:val="24"/>
          <w:szCs w:val="24"/>
          <w:highlight w:val="none"/>
        </w:rPr>
      </w:pPr>
      <w:r>
        <w:rPr>
          <w:rFonts w:hint="eastAsia"/>
          <w:sz w:val="24"/>
          <w:szCs w:val="24"/>
          <w:highlight w:val="none"/>
        </w:rPr>
        <w:t>5.2中标供应商交货前须向采购人提交一份设备序列号清单。在设备交货前应按照采购人要求在终端设备和包装箱上张贴唯一标识该终端设备的二维码。</w:t>
      </w:r>
    </w:p>
    <w:p w14:paraId="236ADD3D">
      <w:pPr>
        <w:spacing w:line="520" w:lineRule="exact"/>
        <w:ind w:firstLine="480" w:firstLineChars="200"/>
        <w:rPr>
          <w:sz w:val="24"/>
          <w:szCs w:val="24"/>
          <w:highlight w:val="none"/>
        </w:rPr>
      </w:pPr>
      <w:r>
        <w:rPr>
          <w:rFonts w:hint="eastAsia"/>
          <w:sz w:val="24"/>
          <w:szCs w:val="24"/>
          <w:highlight w:val="none"/>
        </w:rPr>
        <w:t>5.3交货地点：江苏省内由采购人指定。</w:t>
      </w:r>
    </w:p>
    <w:p w14:paraId="030A208B">
      <w:pPr>
        <w:spacing w:line="520" w:lineRule="exact"/>
        <w:ind w:firstLine="446" w:firstLineChars="185"/>
        <w:rPr>
          <w:b/>
          <w:sz w:val="24"/>
          <w:szCs w:val="24"/>
          <w:highlight w:val="none"/>
        </w:rPr>
      </w:pPr>
      <w:r>
        <w:rPr>
          <w:rFonts w:hint="eastAsia"/>
          <w:b/>
          <w:sz w:val="24"/>
          <w:szCs w:val="24"/>
          <w:highlight w:val="none"/>
        </w:rPr>
        <w:t>6．</w:t>
      </w:r>
      <w:r>
        <w:rPr>
          <w:b/>
          <w:sz w:val="24"/>
          <w:szCs w:val="24"/>
          <w:highlight w:val="none"/>
        </w:rPr>
        <w:t>项目预算及支付方式：</w:t>
      </w:r>
    </w:p>
    <w:p w14:paraId="383356D5">
      <w:pPr>
        <w:keepNext w:val="0"/>
        <w:keepLines w:val="0"/>
        <w:pageBreakBefore w:val="0"/>
        <w:kinsoku/>
        <w:wordWrap/>
        <w:overflowPunct/>
        <w:topLinePunct w:val="0"/>
        <w:autoSpaceDE/>
        <w:autoSpaceDN/>
        <w:bidi w:val="0"/>
        <w:spacing w:line="590" w:lineRule="exact"/>
        <w:ind w:firstLine="470" w:firstLineChars="196"/>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本项目采购预算为</w:t>
      </w:r>
      <w:r>
        <w:rPr>
          <w:rFonts w:hint="eastAsia" w:cs="Times New Roman"/>
          <w:bCs/>
          <w:sz w:val="24"/>
          <w:highlight w:val="none"/>
          <w:lang w:val="en-US" w:eastAsia="zh-CN"/>
        </w:rPr>
        <w:t>5312</w:t>
      </w:r>
      <w:r>
        <w:rPr>
          <w:rFonts w:hint="default" w:ascii="Times New Roman" w:hAnsi="Times New Roman" w:eastAsia="宋体" w:cs="Times New Roman"/>
          <w:bCs/>
          <w:sz w:val="24"/>
          <w:highlight w:val="none"/>
          <w:lang w:val="en-US" w:eastAsia="zh-CN"/>
        </w:rPr>
        <w:t> </w:t>
      </w:r>
      <w:r>
        <w:rPr>
          <w:rFonts w:hint="default" w:ascii="Times New Roman" w:hAnsi="Times New Roman" w:eastAsia="宋体" w:cs="Times New Roman"/>
          <w:sz w:val="24"/>
          <w:szCs w:val="24"/>
          <w:highlight w:val="none"/>
        </w:rPr>
        <w:t>万元。全部设备到货后，提交所需单据并经采购人验收合格后，采购人支付合同总价的50%；</w:t>
      </w:r>
      <w:r>
        <w:rPr>
          <w:rFonts w:hint="default" w:ascii="Times New Roman" w:hAnsi="Times New Roman" w:eastAsia="宋体" w:cs="Times New Roman"/>
          <w:sz w:val="24"/>
          <w:szCs w:val="24"/>
          <w:highlight w:val="none"/>
          <w:lang w:val="en-US" w:eastAsia="zh-CN"/>
        </w:rPr>
        <w:t>经</w:t>
      </w:r>
      <w:r>
        <w:rPr>
          <w:rFonts w:hint="default" w:ascii="Times New Roman" w:hAnsi="Times New Roman" w:eastAsia="宋体" w:cs="Times New Roman"/>
          <w:sz w:val="24"/>
          <w:szCs w:val="24"/>
          <w:highlight w:val="none"/>
        </w:rPr>
        <w:t>验收合格一个月后</w:t>
      </w:r>
      <w:r>
        <w:rPr>
          <w:rFonts w:hint="eastAsia" w:cs="Times New Roman"/>
          <w:sz w:val="24"/>
          <w:szCs w:val="24"/>
          <w:highlight w:val="none"/>
          <w:lang w:val="en-US" w:eastAsia="zh-CN"/>
        </w:rPr>
        <w:t>(无息）</w:t>
      </w:r>
      <w:r>
        <w:rPr>
          <w:rFonts w:hint="default" w:ascii="Times New Roman" w:hAnsi="Times New Roman" w:eastAsia="宋体" w:cs="Times New Roman"/>
          <w:sz w:val="24"/>
          <w:szCs w:val="24"/>
          <w:highlight w:val="none"/>
        </w:rPr>
        <w:t>，采购人支付合同总价的</w:t>
      </w:r>
      <w:r>
        <w:rPr>
          <w:rFonts w:hint="default" w:ascii="Times New Roman" w:hAnsi="Times New Roman" w:eastAsia="宋体" w:cs="Times New Roman"/>
          <w:sz w:val="24"/>
          <w:szCs w:val="24"/>
          <w:highlight w:val="none"/>
          <w:lang w:val="en-US" w:eastAsia="zh-CN"/>
        </w:rPr>
        <w:t>5</w:t>
      </w:r>
      <w:r>
        <w:rPr>
          <w:rFonts w:hint="default" w:ascii="Times New Roman" w:hAnsi="Times New Roman" w:eastAsia="宋体" w:cs="Times New Roman"/>
          <w:sz w:val="24"/>
          <w:szCs w:val="24"/>
          <w:highlight w:val="none"/>
        </w:rPr>
        <w:t>0%。</w:t>
      </w:r>
    </w:p>
    <w:p w14:paraId="64266377">
      <w:pPr>
        <w:numPr>
          <w:ilvl w:val="0"/>
          <w:numId w:val="5"/>
        </w:numPr>
        <w:spacing w:line="520" w:lineRule="exact"/>
        <w:ind w:firstLine="446" w:firstLineChars="185"/>
        <w:rPr>
          <w:rFonts w:hint="eastAsia" w:ascii="Times New Roman" w:hAnsi="Times New Roman" w:eastAsia="宋体" w:cs="Times New Roman"/>
          <w:b/>
          <w:sz w:val="24"/>
          <w:szCs w:val="24"/>
          <w:highlight w:val="none"/>
          <w:lang w:eastAsia="zh-CN"/>
        </w:rPr>
      </w:pPr>
      <w:r>
        <w:rPr>
          <w:rFonts w:hint="default" w:ascii="Times New Roman" w:hAnsi="Times New Roman" w:eastAsia="宋体" w:cs="Times New Roman"/>
          <w:b/>
          <w:sz w:val="24"/>
          <w:szCs w:val="24"/>
          <w:highlight w:val="none"/>
        </w:rPr>
        <w:t>报价要求</w:t>
      </w:r>
      <w:r>
        <w:rPr>
          <w:rFonts w:hint="eastAsia" w:ascii="Times New Roman" w:hAnsi="Times New Roman" w:eastAsia="宋体" w:cs="Times New Roman"/>
          <w:b/>
          <w:sz w:val="24"/>
          <w:szCs w:val="24"/>
          <w:highlight w:val="none"/>
          <w:lang w:eastAsia="zh-CN"/>
        </w:rPr>
        <w:t>：</w:t>
      </w:r>
    </w:p>
    <w:p w14:paraId="55B92318">
      <w:pPr>
        <w:keepNext w:val="0"/>
        <w:keepLines w:val="0"/>
        <w:pageBreakBefore w:val="0"/>
        <w:kinsoku/>
        <w:wordWrap/>
        <w:overflowPunct/>
        <w:topLinePunct w:val="0"/>
        <w:autoSpaceDE/>
        <w:autoSpaceDN/>
        <w:bidi w:val="0"/>
        <w:spacing w:line="590" w:lineRule="exact"/>
        <w:ind w:firstLine="470" w:firstLineChars="196"/>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投标报价按单台报价。供应商需填报终端机整机、配置及分项报价表，在表中表明所提供的设备品牌、规格、型号、原产地、主要部件型号等；每项货物与服务等只允许有一个报价。</w:t>
      </w:r>
    </w:p>
    <w:p w14:paraId="382D4BB5">
      <w:pPr>
        <w:keepNext w:val="0"/>
        <w:keepLines w:val="0"/>
        <w:pageBreakBefore w:val="0"/>
        <w:kinsoku/>
        <w:wordWrap/>
        <w:overflowPunct/>
        <w:topLinePunct w:val="0"/>
        <w:autoSpaceDE/>
        <w:autoSpaceDN/>
        <w:bidi w:val="0"/>
        <w:spacing w:line="590" w:lineRule="exact"/>
        <w:ind w:firstLine="470" w:firstLineChars="196"/>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供应商的最终报价应包括但不限于货物成本、利润、运输费（含保险费）、装卸费、安装调试费、检测验收费、培训费、售后服务费以及与本项目有关的所有税、费；采购人无须另向中标供应商支付其他任何费用。</w:t>
      </w:r>
    </w:p>
    <w:p w14:paraId="1F6F8FDB">
      <w:pPr>
        <w:numPr>
          <w:ilvl w:val="0"/>
          <w:numId w:val="5"/>
        </w:numPr>
        <w:spacing w:line="520" w:lineRule="exact"/>
        <w:ind w:firstLine="446" w:firstLineChars="185"/>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lang w:val="en-US" w:eastAsia="zh-CN"/>
        </w:rPr>
        <w:t>验收方式</w:t>
      </w:r>
      <w:r>
        <w:rPr>
          <w:rFonts w:hint="eastAsia" w:ascii="Times New Roman" w:hAnsi="Times New Roman" w:eastAsia="宋体" w:cs="Times New Roman"/>
          <w:b/>
          <w:sz w:val="24"/>
          <w:szCs w:val="24"/>
          <w:highlight w:val="none"/>
          <w:lang w:val="en-US" w:eastAsia="zh-CN"/>
        </w:rPr>
        <w:t>：</w:t>
      </w:r>
    </w:p>
    <w:p w14:paraId="09D1E0F6">
      <w:pPr>
        <w:keepNext w:val="0"/>
        <w:keepLines w:val="0"/>
        <w:pageBreakBefore w:val="0"/>
        <w:kinsoku/>
        <w:wordWrap/>
        <w:overflowPunct/>
        <w:topLinePunct w:val="0"/>
        <w:autoSpaceDE/>
        <w:autoSpaceDN/>
        <w:bidi w:val="0"/>
        <w:spacing w:line="590" w:lineRule="exact"/>
        <w:ind w:firstLine="470" w:firstLineChars="196"/>
        <w:rPr>
          <w:rFonts w:hint="default" w:ascii="Times New Roman" w:hAnsi="Times New Roman" w:eastAsia="宋体" w:cs="Times New Roman"/>
          <w:sz w:val="24"/>
          <w:szCs w:val="24"/>
          <w:highlight w:val="none"/>
        </w:rPr>
      </w:pPr>
      <w:r>
        <w:rPr>
          <w:rFonts w:hint="eastAsia" w:cs="Times New Roman"/>
          <w:sz w:val="24"/>
          <w:szCs w:val="24"/>
          <w:highlight w:val="none"/>
          <w:lang w:val="en-US" w:eastAsia="zh-CN"/>
        </w:rPr>
        <w:t>采购人</w:t>
      </w:r>
      <w:r>
        <w:rPr>
          <w:rFonts w:hint="default" w:ascii="Times New Roman" w:hAnsi="Times New Roman" w:eastAsia="宋体" w:cs="Times New Roman"/>
          <w:sz w:val="24"/>
          <w:szCs w:val="24"/>
          <w:highlight w:val="none"/>
          <w:lang w:val="en-US" w:eastAsia="zh-CN"/>
        </w:rPr>
        <w:t>根据《省政府采购履约验收管理办法》（苏财规〔2025〕7号文），成立3人以上的终端机验收小组（采购人员不得加入验收小组），对终端机进行验收。验收方式分为数量验收、拆机验收和72小时稳定性测试。</w:t>
      </w:r>
    </w:p>
    <w:p w14:paraId="0C2C7166">
      <w:pPr>
        <w:keepNext w:val="0"/>
        <w:keepLines w:val="0"/>
        <w:pageBreakBefore w:val="0"/>
        <w:kinsoku/>
        <w:wordWrap/>
        <w:overflowPunct/>
        <w:topLinePunct w:val="0"/>
        <w:autoSpaceDE/>
        <w:autoSpaceDN/>
        <w:bidi w:val="0"/>
        <w:spacing w:line="590" w:lineRule="exact"/>
        <w:ind w:firstLine="470" w:firstLineChars="196"/>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（1）数量和完整性验收</w:t>
      </w:r>
    </w:p>
    <w:p w14:paraId="77F4E1D3">
      <w:pPr>
        <w:keepNext w:val="0"/>
        <w:keepLines w:val="0"/>
        <w:pageBreakBefore w:val="0"/>
        <w:kinsoku/>
        <w:wordWrap/>
        <w:overflowPunct/>
        <w:topLinePunct w:val="0"/>
        <w:autoSpaceDE/>
        <w:autoSpaceDN/>
        <w:bidi w:val="0"/>
        <w:spacing w:line="590" w:lineRule="exact"/>
        <w:ind w:firstLine="470" w:firstLineChars="196"/>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终端机到货后，验收小组成员共同到仓库进行数量清点，确定供货数量与采购数量一致。同时随机抽取10台终端机拆箱检查，确认包装完好，装箱单、使用说明书和配件齐全，设备表面完好，并接通电源进行开机检测。</w:t>
      </w:r>
    </w:p>
    <w:p w14:paraId="0135D995">
      <w:pPr>
        <w:keepNext w:val="0"/>
        <w:keepLines w:val="0"/>
        <w:pageBreakBefore w:val="0"/>
        <w:kinsoku/>
        <w:wordWrap/>
        <w:overflowPunct/>
        <w:topLinePunct w:val="0"/>
        <w:autoSpaceDE/>
        <w:autoSpaceDN/>
        <w:bidi w:val="0"/>
        <w:spacing w:line="590" w:lineRule="exact"/>
        <w:ind w:firstLine="470" w:firstLineChars="196"/>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（2）拆机验收</w:t>
      </w:r>
    </w:p>
    <w:p w14:paraId="0D09201B">
      <w:pPr>
        <w:keepNext w:val="0"/>
        <w:keepLines w:val="0"/>
        <w:pageBreakBefore w:val="0"/>
        <w:kinsoku/>
        <w:wordWrap/>
        <w:overflowPunct/>
        <w:topLinePunct w:val="0"/>
        <w:autoSpaceDE/>
        <w:autoSpaceDN/>
        <w:bidi w:val="0"/>
        <w:spacing w:line="590" w:lineRule="exact"/>
        <w:ind w:firstLine="470" w:firstLineChars="196"/>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根据总局中心到货抽检要求随机抽取5台设备，技术部终端设备管理人与终端厂商人员共同进行拆机检验，核对硬件型号及规格是否符合体彩字〔2025〕104号《关于更新体育彩票电脑彩票传统终端机通过测试目录的通知》要求。</w:t>
      </w:r>
    </w:p>
    <w:p w14:paraId="059D40B1">
      <w:pPr>
        <w:keepNext w:val="0"/>
        <w:keepLines w:val="0"/>
        <w:pageBreakBefore w:val="0"/>
        <w:kinsoku/>
        <w:wordWrap/>
        <w:overflowPunct/>
        <w:topLinePunct w:val="0"/>
        <w:autoSpaceDE/>
        <w:autoSpaceDN/>
        <w:bidi w:val="0"/>
        <w:spacing w:line="590" w:lineRule="exact"/>
        <w:ind w:firstLine="470" w:firstLineChars="196"/>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（3）稳定性测试</w:t>
      </w:r>
    </w:p>
    <w:p w14:paraId="4D3FA556">
      <w:pPr>
        <w:keepNext w:val="0"/>
        <w:keepLines w:val="0"/>
        <w:pageBreakBefore w:val="0"/>
        <w:kinsoku/>
        <w:wordWrap/>
        <w:overflowPunct/>
        <w:topLinePunct w:val="0"/>
        <w:autoSpaceDE/>
        <w:autoSpaceDN/>
        <w:bidi w:val="0"/>
        <w:spacing w:line="590" w:lineRule="exact"/>
        <w:ind w:firstLine="470" w:firstLineChars="196"/>
        <w:rPr>
          <w:rFonts w:hint="eastAsia"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根据总局中心要求随机抽取5台设备接入生产环境，安装测试版本，登录演示模式，启动72小时连续打票，进行72小时稳定性测试。</w:t>
      </w:r>
    </w:p>
    <w:p w14:paraId="2E5F197F">
      <w:pPr>
        <w:pStyle w:val="2"/>
        <w:numPr>
          <w:ilvl w:val="0"/>
          <w:numId w:val="4"/>
        </w:numPr>
        <w:rPr>
          <w:rFonts w:ascii="Times New Roman" w:eastAsia="黑体"/>
          <w:bCs/>
          <w:sz w:val="44"/>
          <w:highlight w:val="none"/>
        </w:rPr>
      </w:pPr>
      <w:r>
        <w:rPr>
          <w:rFonts w:ascii="Times New Roman"/>
          <w:sz w:val="24"/>
          <w:szCs w:val="24"/>
          <w:highlight w:val="none"/>
        </w:rPr>
        <w:br w:type="page"/>
      </w:r>
      <w:bookmarkStart w:id="184" w:name="_Toc511899516"/>
      <w:bookmarkStart w:id="185" w:name="_Toc475009300"/>
      <w:bookmarkStart w:id="186" w:name="_Toc481072016"/>
      <w:bookmarkStart w:id="187" w:name="_Toc481071970"/>
      <w:r>
        <w:rPr>
          <w:rFonts w:ascii="Times New Roman" w:eastAsia="黑体"/>
          <w:bCs/>
          <w:sz w:val="44"/>
          <w:highlight w:val="none"/>
        </w:rPr>
        <w:t xml:space="preserve">  </w:t>
      </w:r>
      <w:bookmarkEnd w:id="180"/>
      <w:bookmarkEnd w:id="181"/>
      <w:bookmarkEnd w:id="182"/>
      <w:bookmarkStart w:id="188" w:name="_Hlt26955041"/>
      <w:bookmarkEnd w:id="188"/>
      <w:bookmarkStart w:id="189" w:name="_Toc145408600"/>
      <w:bookmarkStart w:id="190" w:name="_Toc460901585"/>
      <w:bookmarkStart w:id="191" w:name="_Toc26554095"/>
      <w:bookmarkStart w:id="192" w:name="_Toc513029276"/>
      <w:bookmarkStart w:id="193" w:name="_Toc49090577"/>
      <w:bookmarkStart w:id="194" w:name="_Toc120614283"/>
      <w:bookmarkStart w:id="195" w:name="_Toc23828478"/>
      <w:bookmarkStart w:id="196" w:name="_Toc22356580"/>
      <w:r>
        <w:rPr>
          <w:rFonts w:ascii="Times New Roman" w:eastAsia="黑体"/>
          <w:bCs/>
          <w:sz w:val="44"/>
          <w:highlight w:val="none"/>
        </w:rPr>
        <w:t>评标办法和评标标准</w:t>
      </w:r>
      <w:bookmarkEnd w:id="184"/>
      <w:bookmarkEnd w:id="185"/>
      <w:bookmarkEnd w:id="186"/>
      <w:bookmarkEnd w:id="187"/>
      <w:bookmarkEnd w:id="189"/>
    </w:p>
    <w:p w14:paraId="3098B887">
      <w:pPr>
        <w:spacing w:line="540" w:lineRule="exact"/>
        <w:ind w:firstLine="542" w:firstLineChars="225"/>
        <w:rPr>
          <w:rFonts w:ascii="Times New Roman" w:hAnsi="Times New Roman"/>
          <w:b/>
          <w:sz w:val="24"/>
          <w:szCs w:val="24"/>
          <w:highlight w:val="none"/>
        </w:rPr>
      </w:pPr>
      <w:r>
        <w:rPr>
          <w:rFonts w:ascii="Times New Roman" w:hAnsi="Times New Roman"/>
          <w:b/>
          <w:sz w:val="24"/>
          <w:szCs w:val="24"/>
          <w:highlight w:val="none"/>
        </w:rPr>
        <w:t>一．评标办法</w:t>
      </w:r>
    </w:p>
    <w:p w14:paraId="47934977">
      <w:pPr>
        <w:spacing w:line="520" w:lineRule="exact"/>
        <w:ind w:firstLine="540" w:firstLineChars="225"/>
        <w:rPr>
          <w:rFonts w:hint="eastAsia"/>
          <w:sz w:val="24"/>
          <w:highlight w:val="none"/>
        </w:rPr>
      </w:pPr>
      <w:r>
        <w:rPr>
          <w:rFonts w:ascii="Times New Roman" w:hAnsi="Times New Roman"/>
          <w:sz w:val="24"/>
          <w:highlight w:val="none"/>
        </w:rPr>
        <w:t>本项目采用综合评分法，评标结果按评审后得分由高到低顺序排列。得分相同的，按投标报价由低到高顺序排列，得分且投标报价相同的并列。评委会仅对确定为实质上响应招标文件要求的投标文件进行评价和比较，且按照评审因素的量化指标评审</w:t>
      </w:r>
      <w:r>
        <w:rPr>
          <w:rFonts w:hint="eastAsia"/>
          <w:sz w:val="24"/>
          <w:highlight w:val="none"/>
        </w:rPr>
        <w:t>得分由高到低顺序确定中标供应商。</w:t>
      </w:r>
    </w:p>
    <w:p w14:paraId="08BCA9ED">
      <w:pPr>
        <w:spacing w:line="530" w:lineRule="exact"/>
        <w:ind w:firstLine="480" w:firstLineChars="200"/>
        <w:rPr>
          <w:rFonts w:hint="eastAsia" w:ascii="Times New Roman" w:hAnsi="Times New Roman" w:eastAsia="宋体" w:cs="Times New Roman"/>
          <w:sz w:val="24"/>
          <w:highlight w:val="none"/>
          <w:lang w:val="en-US" w:eastAsia="zh-CN"/>
        </w:rPr>
      </w:pPr>
      <w:r>
        <w:rPr>
          <w:rFonts w:hint="eastAsia"/>
          <w:bCs/>
          <w:sz w:val="24"/>
          <w:highlight w:val="none"/>
        </w:rPr>
        <w:t>本项目共确定中标供应商</w:t>
      </w:r>
      <w:r>
        <w:rPr>
          <w:rFonts w:hint="eastAsia"/>
          <w:bCs/>
          <w:sz w:val="24"/>
          <w:highlight w:val="none"/>
          <w:lang w:val="en-US" w:eastAsia="zh-CN"/>
        </w:rPr>
        <w:t>的方法为：</w:t>
      </w:r>
      <w:r>
        <w:rPr>
          <w:rFonts w:hint="eastAsia" w:ascii="Times New Roman" w:hAnsi="Times New Roman" w:eastAsia="宋体" w:cs="Times New Roman"/>
          <w:sz w:val="24"/>
          <w:highlight w:val="none"/>
          <w:lang w:val="en-US" w:eastAsia="zh-CN"/>
        </w:rPr>
        <w:t>当有效</w:t>
      </w:r>
      <w:r>
        <w:rPr>
          <w:rFonts w:hint="eastAsia" w:ascii="Times New Roman" w:hAnsi="Times New Roman" w:eastAsia="宋体" w:cs="Times New Roman"/>
          <w:sz w:val="24"/>
          <w:highlight w:val="none"/>
        </w:rPr>
        <w:t>供应商</w:t>
      </w:r>
      <w:r>
        <w:rPr>
          <w:rFonts w:hint="eastAsia" w:ascii="Times New Roman" w:hAnsi="Times New Roman" w:eastAsia="宋体" w:cs="Times New Roman"/>
          <w:sz w:val="24"/>
          <w:highlight w:val="none"/>
          <w:lang w:val="en-US" w:eastAsia="zh-CN"/>
        </w:rPr>
        <w:t>数量大于等于4家时，按照综合评分从高到低确认2名</w:t>
      </w:r>
      <w:r>
        <w:rPr>
          <w:rFonts w:hint="eastAsia"/>
          <w:sz w:val="24"/>
          <w:highlight w:val="none"/>
        </w:rPr>
        <w:t>中标候选人</w:t>
      </w:r>
      <w:r>
        <w:rPr>
          <w:rFonts w:hint="eastAsia"/>
          <w:sz w:val="24"/>
          <w:highlight w:val="none"/>
          <w:lang w:eastAsia="zh-CN"/>
        </w:rPr>
        <w:t>；</w:t>
      </w:r>
      <w:r>
        <w:rPr>
          <w:rFonts w:hint="eastAsia" w:ascii="Times New Roman" w:hAnsi="Times New Roman" w:eastAsia="宋体" w:cs="Times New Roman"/>
          <w:sz w:val="24"/>
          <w:highlight w:val="none"/>
          <w:lang w:val="en-US" w:eastAsia="zh-CN"/>
        </w:rPr>
        <w:t>当有效</w:t>
      </w:r>
      <w:r>
        <w:rPr>
          <w:rFonts w:hint="eastAsia" w:ascii="Times New Roman" w:hAnsi="Times New Roman" w:eastAsia="宋体" w:cs="Times New Roman"/>
          <w:sz w:val="24"/>
          <w:highlight w:val="none"/>
        </w:rPr>
        <w:t>供应商</w:t>
      </w:r>
      <w:r>
        <w:rPr>
          <w:rFonts w:hint="eastAsia" w:ascii="Times New Roman" w:hAnsi="Times New Roman" w:eastAsia="宋体" w:cs="Times New Roman"/>
          <w:sz w:val="24"/>
          <w:highlight w:val="none"/>
          <w:lang w:val="en-US" w:eastAsia="zh-CN"/>
        </w:rPr>
        <w:t>数量不足4家时，废标重招。</w:t>
      </w:r>
    </w:p>
    <w:p w14:paraId="5B8B31B2">
      <w:pPr>
        <w:spacing w:line="520" w:lineRule="exact"/>
        <w:ind w:firstLine="540" w:firstLineChars="225"/>
        <w:rPr>
          <w:rFonts w:hint="eastAsia"/>
          <w:sz w:val="24"/>
          <w:highlight w:val="none"/>
        </w:rPr>
      </w:pPr>
      <w:r>
        <w:rPr>
          <w:rFonts w:hint="eastAsia"/>
          <w:bCs/>
          <w:sz w:val="24"/>
          <w:highlight w:val="none"/>
        </w:rPr>
        <w:t>第一中标候选人</w:t>
      </w:r>
      <w:r>
        <w:rPr>
          <w:rFonts w:hint="eastAsia" w:ascii="Times New Roman" w:hAnsi="Times New Roman"/>
          <w:sz w:val="24"/>
          <w:highlight w:val="none"/>
          <w:lang w:val="en-US" w:eastAsia="zh-CN"/>
        </w:rPr>
        <w:t>供货</w:t>
      </w:r>
      <w:r>
        <w:rPr>
          <w:rFonts w:hint="eastAsia"/>
          <w:bCs/>
          <w:sz w:val="24"/>
          <w:highlight w:val="none"/>
        </w:rPr>
        <w:t>数量</w:t>
      </w:r>
      <w:r>
        <w:rPr>
          <w:rFonts w:hint="eastAsia"/>
          <w:bCs/>
          <w:sz w:val="24"/>
          <w:highlight w:val="none"/>
          <w:lang w:val="en-US" w:eastAsia="zh-CN"/>
        </w:rPr>
        <w:t>2500台</w:t>
      </w:r>
      <w:r>
        <w:rPr>
          <w:rFonts w:hint="eastAsia"/>
          <w:bCs/>
          <w:sz w:val="24"/>
          <w:highlight w:val="none"/>
        </w:rPr>
        <w:t>；第二中标候选人</w:t>
      </w:r>
      <w:r>
        <w:rPr>
          <w:rFonts w:hint="eastAsia" w:ascii="Times New Roman" w:hAnsi="Times New Roman"/>
          <w:sz w:val="24"/>
          <w:highlight w:val="none"/>
          <w:lang w:val="en-US" w:eastAsia="zh-CN"/>
        </w:rPr>
        <w:t>供货</w:t>
      </w:r>
      <w:r>
        <w:rPr>
          <w:rFonts w:hint="eastAsia"/>
          <w:bCs/>
          <w:sz w:val="24"/>
          <w:highlight w:val="none"/>
        </w:rPr>
        <w:t>数量</w:t>
      </w:r>
      <w:r>
        <w:rPr>
          <w:rFonts w:hint="eastAsia"/>
          <w:bCs/>
          <w:sz w:val="24"/>
          <w:highlight w:val="none"/>
          <w:lang w:val="en-US" w:eastAsia="zh-CN"/>
        </w:rPr>
        <w:t>1650台。</w:t>
      </w:r>
    </w:p>
    <w:p w14:paraId="7216876C">
      <w:pPr>
        <w:spacing w:line="520" w:lineRule="exact"/>
        <w:ind w:firstLine="542" w:firstLineChars="225"/>
        <w:rPr>
          <w:rFonts w:ascii="Times New Roman" w:hAnsi="Times New Roman"/>
          <w:b/>
          <w:sz w:val="24"/>
          <w:highlight w:val="none"/>
        </w:rPr>
      </w:pPr>
      <w:r>
        <w:rPr>
          <w:rFonts w:ascii="Times New Roman" w:hAnsi="Times New Roman"/>
          <w:b/>
          <w:sz w:val="24"/>
          <w:highlight w:val="none"/>
        </w:rPr>
        <w:t>二．评标标准</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810"/>
        <w:gridCol w:w="708"/>
        <w:gridCol w:w="709"/>
        <w:gridCol w:w="6284"/>
      </w:tblGrid>
      <w:tr w14:paraId="4E455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573" w:type="dxa"/>
            <w:noWrap w:val="0"/>
            <w:vAlign w:val="center"/>
          </w:tcPr>
          <w:p w14:paraId="4DA13D3B">
            <w:pPr>
              <w:widowControl/>
              <w:ind w:left="-90" w:leftChars="-43" w:right="-103" w:rightChars="-49"/>
              <w:jc w:val="center"/>
              <w:rPr>
                <w:b/>
                <w:kern w:val="0"/>
                <w:sz w:val="24"/>
                <w:highlight w:val="none"/>
              </w:rPr>
            </w:pPr>
            <w:r>
              <w:rPr>
                <w:b/>
                <w:kern w:val="0"/>
                <w:sz w:val="24"/>
                <w:highlight w:val="none"/>
              </w:rPr>
              <w:t>序号</w:t>
            </w:r>
          </w:p>
        </w:tc>
        <w:tc>
          <w:tcPr>
            <w:tcW w:w="1518" w:type="dxa"/>
            <w:gridSpan w:val="2"/>
            <w:noWrap w:val="0"/>
            <w:vAlign w:val="center"/>
          </w:tcPr>
          <w:p w14:paraId="74143A5C">
            <w:pPr>
              <w:widowControl/>
              <w:jc w:val="center"/>
              <w:rPr>
                <w:b/>
                <w:kern w:val="0"/>
                <w:sz w:val="24"/>
                <w:highlight w:val="none"/>
              </w:rPr>
            </w:pPr>
            <w:r>
              <w:rPr>
                <w:b/>
                <w:kern w:val="0"/>
                <w:sz w:val="24"/>
                <w:highlight w:val="none"/>
              </w:rPr>
              <w:t>评审内容</w:t>
            </w:r>
          </w:p>
        </w:tc>
        <w:tc>
          <w:tcPr>
            <w:tcW w:w="709" w:type="dxa"/>
            <w:noWrap w:val="0"/>
            <w:vAlign w:val="center"/>
          </w:tcPr>
          <w:p w14:paraId="39CC5B37">
            <w:pPr>
              <w:widowControl/>
              <w:ind w:left="-80" w:leftChars="-38" w:right="-107" w:rightChars="-51"/>
              <w:jc w:val="center"/>
              <w:rPr>
                <w:b/>
                <w:kern w:val="0"/>
                <w:sz w:val="24"/>
                <w:highlight w:val="none"/>
              </w:rPr>
            </w:pPr>
            <w:r>
              <w:rPr>
                <w:b/>
                <w:kern w:val="0"/>
                <w:sz w:val="24"/>
                <w:highlight w:val="none"/>
              </w:rPr>
              <w:t>分值</w:t>
            </w:r>
          </w:p>
        </w:tc>
        <w:tc>
          <w:tcPr>
            <w:tcW w:w="6284" w:type="dxa"/>
            <w:noWrap w:val="0"/>
            <w:vAlign w:val="center"/>
          </w:tcPr>
          <w:p w14:paraId="6E6568B3">
            <w:pPr>
              <w:widowControl/>
              <w:spacing w:line="440" w:lineRule="exact"/>
              <w:jc w:val="center"/>
              <w:rPr>
                <w:b/>
                <w:kern w:val="0"/>
                <w:sz w:val="24"/>
                <w:highlight w:val="none"/>
              </w:rPr>
            </w:pPr>
            <w:r>
              <w:rPr>
                <w:b/>
                <w:kern w:val="0"/>
                <w:sz w:val="24"/>
                <w:highlight w:val="none"/>
              </w:rPr>
              <w:t>评审标准</w:t>
            </w:r>
          </w:p>
        </w:tc>
      </w:tr>
      <w:tr w14:paraId="2973C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573" w:type="dxa"/>
            <w:noWrap w:val="0"/>
            <w:vAlign w:val="center"/>
          </w:tcPr>
          <w:p w14:paraId="6EDDBB98">
            <w:pPr>
              <w:widowControl/>
              <w:jc w:val="center"/>
              <w:rPr>
                <w:b/>
                <w:kern w:val="0"/>
                <w:sz w:val="24"/>
                <w:highlight w:val="none"/>
              </w:rPr>
            </w:pPr>
            <w:r>
              <w:rPr>
                <w:b/>
                <w:kern w:val="0"/>
                <w:sz w:val="24"/>
                <w:highlight w:val="none"/>
              </w:rPr>
              <w:t>1</w:t>
            </w:r>
          </w:p>
        </w:tc>
        <w:tc>
          <w:tcPr>
            <w:tcW w:w="1518" w:type="dxa"/>
            <w:gridSpan w:val="2"/>
            <w:noWrap w:val="0"/>
            <w:vAlign w:val="center"/>
          </w:tcPr>
          <w:p w14:paraId="7DE20C9E">
            <w:pPr>
              <w:widowControl/>
              <w:jc w:val="center"/>
              <w:rPr>
                <w:b/>
                <w:kern w:val="0"/>
                <w:sz w:val="24"/>
                <w:highlight w:val="none"/>
              </w:rPr>
            </w:pPr>
            <w:r>
              <w:rPr>
                <w:rFonts w:hint="eastAsia"/>
                <w:b/>
                <w:kern w:val="0"/>
                <w:sz w:val="24"/>
                <w:highlight w:val="none"/>
              </w:rPr>
              <w:t>投标</w:t>
            </w:r>
            <w:r>
              <w:rPr>
                <w:b/>
                <w:kern w:val="0"/>
                <w:sz w:val="24"/>
                <w:highlight w:val="none"/>
              </w:rPr>
              <w:t>报价</w:t>
            </w:r>
          </w:p>
        </w:tc>
        <w:tc>
          <w:tcPr>
            <w:tcW w:w="709" w:type="dxa"/>
            <w:noWrap w:val="0"/>
            <w:vAlign w:val="center"/>
          </w:tcPr>
          <w:p w14:paraId="3CF9EABB">
            <w:pPr>
              <w:widowControl/>
              <w:jc w:val="center"/>
              <w:rPr>
                <w:b/>
                <w:kern w:val="0"/>
                <w:sz w:val="24"/>
                <w:highlight w:val="none"/>
              </w:rPr>
            </w:pPr>
            <w:r>
              <w:rPr>
                <w:b/>
                <w:kern w:val="0"/>
                <w:sz w:val="24"/>
                <w:highlight w:val="none"/>
              </w:rPr>
              <w:t>3</w:t>
            </w:r>
            <w:r>
              <w:rPr>
                <w:rFonts w:hint="eastAsia"/>
                <w:b/>
                <w:kern w:val="0"/>
                <w:sz w:val="24"/>
                <w:highlight w:val="none"/>
              </w:rPr>
              <w:t>0</w:t>
            </w:r>
          </w:p>
        </w:tc>
        <w:tc>
          <w:tcPr>
            <w:tcW w:w="6284" w:type="dxa"/>
            <w:noWrap w:val="0"/>
            <w:vAlign w:val="center"/>
          </w:tcPr>
          <w:p w14:paraId="5411DE5F">
            <w:pPr>
              <w:spacing w:line="480" w:lineRule="exact"/>
              <w:ind w:firstLine="480" w:firstLineChars="200"/>
              <w:rPr>
                <w:sz w:val="24"/>
                <w:highlight w:val="none"/>
              </w:rPr>
            </w:pPr>
            <w:r>
              <w:rPr>
                <w:sz w:val="24"/>
                <w:highlight w:val="none"/>
              </w:rPr>
              <w:t>满足采购文件实质性要求且报价最低的</w:t>
            </w:r>
            <w:r>
              <w:rPr>
                <w:rFonts w:hint="eastAsia"/>
                <w:sz w:val="24"/>
                <w:highlight w:val="none"/>
              </w:rPr>
              <w:t>投标</w:t>
            </w:r>
            <w:r>
              <w:rPr>
                <w:sz w:val="24"/>
                <w:highlight w:val="none"/>
              </w:rPr>
              <w:t>报价为</w:t>
            </w:r>
            <w:r>
              <w:rPr>
                <w:rFonts w:hint="eastAsia"/>
                <w:sz w:val="24"/>
                <w:highlight w:val="none"/>
              </w:rPr>
              <w:t>评标</w:t>
            </w:r>
            <w:r>
              <w:rPr>
                <w:sz w:val="24"/>
                <w:highlight w:val="none"/>
              </w:rPr>
              <w:t>基准价，其价格分为满分。其他供应商的价格分统一按照下列公式计算：</w:t>
            </w:r>
            <w:r>
              <w:rPr>
                <w:rFonts w:hAnsi="宋体"/>
                <w:sz w:val="24"/>
                <w:highlight w:val="none"/>
              </w:rPr>
              <w:t>项目投标报价得分</w:t>
            </w:r>
            <w:r>
              <w:rPr>
                <w:sz w:val="24"/>
                <w:highlight w:val="none"/>
              </w:rPr>
              <w:t>=</w:t>
            </w:r>
            <w:r>
              <w:rPr>
                <w:rFonts w:hAnsi="宋体"/>
                <w:sz w:val="24"/>
                <w:highlight w:val="none"/>
              </w:rPr>
              <w:t>（评标基准价</w:t>
            </w:r>
            <w:r>
              <w:rPr>
                <w:sz w:val="24"/>
                <w:highlight w:val="none"/>
              </w:rPr>
              <w:t>/</w:t>
            </w:r>
            <w:r>
              <w:rPr>
                <w:rFonts w:hAnsi="宋体"/>
                <w:sz w:val="24"/>
                <w:highlight w:val="none"/>
              </w:rPr>
              <w:t>投标报价）</w:t>
            </w:r>
            <w:r>
              <w:rPr>
                <w:sz w:val="24"/>
                <w:highlight w:val="none"/>
              </w:rPr>
              <w:t>×3</w:t>
            </w:r>
            <w:r>
              <w:rPr>
                <w:rFonts w:hint="eastAsia"/>
                <w:sz w:val="24"/>
                <w:highlight w:val="none"/>
              </w:rPr>
              <w:t>0</w:t>
            </w:r>
            <w:r>
              <w:rPr>
                <w:sz w:val="24"/>
                <w:highlight w:val="none"/>
              </w:rPr>
              <w:t>，小数点后保留2位。</w:t>
            </w:r>
          </w:p>
        </w:tc>
      </w:tr>
      <w:tr w14:paraId="78CDB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6" w:hRule="atLeast"/>
          <w:jc w:val="center"/>
        </w:trPr>
        <w:tc>
          <w:tcPr>
            <w:tcW w:w="573" w:type="dxa"/>
            <w:noWrap w:val="0"/>
            <w:vAlign w:val="center"/>
          </w:tcPr>
          <w:p w14:paraId="13C950B0">
            <w:pPr>
              <w:widowControl/>
              <w:jc w:val="center"/>
              <w:rPr>
                <w:b/>
                <w:kern w:val="0"/>
                <w:sz w:val="24"/>
                <w:highlight w:val="none"/>
              </w:rPr>
            </w:pPr>
            <w:r>
              <w:rPr>
                <w:rFonts w:hint="eastAsia"/>
                <w:b/>
                <w:kern w:val="0"/>
                <w:sz w:val="24"/>
                <w:highlight w:val="none"/>
              </w:rPr>
              <w:t>2</w:t>
            </w:r>
          </w:p>
        </w:tc>
        <w:tc>
          <w:tcPr>
            <w:tcW w:w="1518" w:type="dxa"/>
            <w:gridSpan w:val="2"/>
            <w:noWrap w:val="0"/>
            <w:vAlign w:val="center"/>
          </w:tcPr>
          <w:p w14:paraId="188E074A">
            <w:pPr>
              <w:jc w:val="center"/>
              <w:rPr>
                <w:b/>
                <w:bCs/>
                <w:sz w:val="24"/>
                <w:highlight w:val="none"/>
              </w:rPr>
            </w:pPr>
            <w:r>
              <w:rPr>
                <w:b/>
                <w:bCs/>
                <w:sz w:val="24"/>
                <w:highlight w:val="none"/>
              </w:rPr>
              <w:t>技术参数</w:t>
            </w:r>
          </w:p>
          <w:p w14:paraId="753B4018">
            <w:pPr>
              <w:jc w:val="center"/>
              <w:rPr>
                <w:color w:val="000000"/>
                <w:kern w:val="0"/>
                <w:sz w:val="24"/>
                <w:szCs w:val="24"/>
                <w:highlight w:val="none"/>
              </w:rPr>
            </w:pPr>
            <w:r>
              <w:rPr>
                <w:b/>
                <w:bCs/>
                <w:sz w:val="24"/>
                <w:highlight w:val="none"/>
              </w:rPr>
              <w:t>响应情况</w:t>
            </w:r>
          </w:p>
        </w:tc>
        <w:tc>
          <w:tcPr>
            <w:tcW w:w="709" w:type="dxa"/>
            <w:noWrap w:val="0"/>
            <w:vAlign w:val="center"/>
          </w:tcPr>
          <w:p w14:paraId="6D8BC804">
            <w:pPr>
              <w:widowControl/>
              <w:jc w:val="center"/>
              <w:rPr>
                <w:b/>
                <w:kern w:val="0"/>
                <w:sz w:val="24"/>
                <w:highlight w:val="none"/>
              </w:rPr>
            </w:pPr>
            <w:r>
              <w:rPr>
                <w:b/>
                <w:kern w:val="0"/>
                <w:sz w:val="24"/>
                <w:highlight w:val="none"/>
              </w:rPr>
              <w:t>2</w:t>
            </w:r>
            <w:r>
              <w:rPr>
                <w:rFonts w:hint="eastAsia"/>
                <w:b/>
                <w:kern w:val="0"/>
                <w:sz w:val="24"/>
                <w:highlight w:val="none"/>
              </w:rPr>
              <w:t>4</w:t>
            </w:r>
          </w:p>
        </w:tc>
        <w:tc>
          <w:tcPr>
            <w:tcW w:w="6284" w:type="dxa"/>
            <w:noWrap w:val="0"/>
            <w:vAlign w:val="center"/>
          </w:tcPr>
          <w:p w14:paraId="546A5073">
            <w:pPr>
              <w:spacing w:line="480" w:lineRule="exact"/>
              <w:ind w:firstLine="480" w:firstLineChars="200"/>
              <w:rPr>
                <w:i/>
                <w:sz w:val="24"/>
                <w:highlight w:val="none"/>
              </w:rPr>
            </w:pPr>
            <w:r>
              <w:rPr>
                <w:sz w:val="24"/>
                <w:szCs w:val="24"/>
                <w:highlight w:val="none"/>
              </w:rPr>
              <w:t>根据供应商所</w:t>
            </w:r>
            <w:r>
              <w:rPr>
                <w:rFonts w:hint="eastAsia"/>
                <w:sz w:val="24"/>
                <w:szCs w:val="24"/>
                <w:highlight w:val="none"/>
              </w:rPr>
              <w:t>提供</w:t>
            </w:r>
            <w:r>
              <w:rPr>
                <w:sz w:val="24"/>
                <w:szCs w:val="24"/>
                <w:highlight w:val="none"/>
              </w:rPr>
              <w:t>产品的重要技术指标、参数情况由</w:t>
            </w:r>
            <w:r>
              <w:rPr>
                <w:rFonts w:hint="eastAsia"/>
                <w:sz w:val="24"/>
                <w:szCs w:val="24"/>
                <w:highlight w:val="none"/>
              </w:rPr>
              <w:t>评委会</w:t>
            </w:r>
            <w:r>
              <w:rPr>
                <w:sz w:val="24"/>
                <w:szCs w:val="24"/>
                <w:highlight w:val="none"/>
              </w:rPr>
              <w:t>成员进行评分。完全满足产品的所有功能及技术指标要求的得</w:t>
            </w:r>
            <w:r>
              <w:rPr>
                <w:rFonts w:hint="eastAsia"/>
                <w:sz w:val="24"/>
                <w:szCs w:val="24"/>
                <w:highlight w:val="none"/>
              </w:rPr>
              <w:t>24</w:t>
            </w:r>
            <w:r>
              <w:rPr>
                <w:sz w:val="24"/>
                <w:szCs w:val="24"/>
                <w:highlight w:val="none"/>
              </w:rPr>
              <w:t>分；负偏离一项扣</w:t>
            </w:r>
            <w:r>
              <w:rPr>
                <w:rFonts w:hint="eastAsia"/>
                <w:sz w:val="24"/>
                <w:szCs w:val="24"/>
                <w:highlight w:val="none"/>
              </w:rPr>
              <w:t>1.5</w:t>
            </w:r>
            <w:r>
              <w:rPr>
                <w:sz w:val="24"/>
                <w:szCs w:val="24"/>
                <w:highlight w:val="none"/>
              </w:rPr>
              <w:t>分，</w:t>
            </w:r>
            <w:r>
              <w:rPr>
                <w:rFonts w:hint="eastAsia"/>
                <w:sz w:val="24"/>
                <w:szCs w:val="24"/>
                <w:highlight w:val="none"/>
              </w:rPr>
              <w:t>负偏离超过4项本项不得分</w:t>
            </w:r>
            <w:r>
              <w:rPr>
                <w:sz w:val="24"/>
                <w:szCs w:val="24"/>
                <w:highlight w:val="none"/>
              </w:rPr>
              <w:t>。</w:t>
            </w:r>
          </w:p>
        </w:tc>
      </w:tr>
      <w:tr w14:paraId="402E7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573" w:type="dxa"/>
            <w:noWrap w:val="0"/>
            <w:vAlign w:val="center"/>
          </w:tcPr>
          <w:p w14:paraId="6D67CAD4">
            <w:pPr>
              <w:widowControl/>
              <w:jc w:val="center"/>
              <w:rPr>
                <w:b/>
                <w:kern w:val="0"/>
                <w:sz w:val="24"/>
                <w:highlight w:val="none"/>
              </w:rPr>
            </w:pPr>
            <w:r>
              <w:rPr>
                <w:rFonts w:hint="eastAsia"/>
                <w:b/>
                <w:kern w:val="0"/>
                <w:sz w:val="24"/>
                <w:highlight w:val="none"/>
              </w:rPr>
              <w:t>3.1</w:t>
            </w:r>
          </w:p>
        </w:tc>
        <w:tc>
          <w:tcPr>
            <w:tcW w:w="810" w:type="dxa"/>
            <w:vMerge w:val="restart"/>
            <w:noWrap w:val="0"/>
            <w:vAlign w:val="center"/>
          </w:tcPr>
          <w:p w14:paraId="463BB7F7">
            <w:pPr>
              <w:widowControl/>
              <w:jc w:val="center"/>
              <w:rPr>
                <w:b/>
                <w:kern w:val="0"/>
                <w:sz w:val="24"/>
                <w:szCs w:val="24"/>
                <w:highlight w:val="none"/>
              </w:rPr>
            </w:pPr>
            <w:r>
              <w:rPr>
                <w:b/>
                <w:kern w:val="0"/>
                <w:sz w:val="24"/>
                <w:szCs w:val="24"/>
                <w:highlight w:val="none"/>
              </w:rPr>
              <w:t>商务部分</w:t>
            </w:r>
          </w:p>
        </w:tc>
        <w:tc>
          <w:tcPr>
            <w:tcW w:w="708" w:type="dxa"/>
            <w:noWrap w:val="0"/>
            <w:vAlign w:val="center"/>
          </w:tcPr>
          <w:p w14:paraId="707E6F2C">
            <w:pPr>
              <w:widowControl/>
              <w:spacing w:line="360" w:lineRule="exact"/>
              <w:jc w:val="center"/>
              <w:rPr>
                <w:b/>
                <w:kern w:val="0"/>
                <w:sz w:val="24"/>
                <w:szCs w:val="24"/>
                <w:highlight w:val="none"/>
              </w:rPr>
            </w:pPr>
            <w:r>
              <w:rPr>
                <w:rFonts w:hint="eastAsia"/>
                <w:b/>
                <w:bCs/>
                <w:sz w:val="24"/>
                <w:szCs w:val="24"/>
                <w:highlight w:val="none"/>
              </w:rPr>
              <w:t>产品创新设计</w:t>
            </w:r>
          </w:p>
        </w:tc>
        <w:tc>
          <w:tcPr>
            <w:tcW w:w="709" w:type="dxa"/>
            <w:noWrap w:val="0"/>
            <w:vAlign w:val="center"/>
          </w:tcPr>
          <w:p w14:paraId="72AF7A92">
            <w:pPr>
              <w:widowControl/>
              <w:jc w:val="center"/>
              <w:rPr>
                <w:b/>
                <w:kern w:val="0"/>
                <w:sz w:val="24"/>
                <w:highlight w:val="none"/>
              </w:rPr>
            </w:pPr>
            <w:r>
              <w:rPr>
                <w:rFonts w:hint="eastAsia"/>
                <w:b/>
                <w:kern w:val="0"/>
                <w:sz w:val="24"/>
                <w:highlight w:val="none"/>
              </w:rPr>
              <w:t>2</w:t>
            </w:r>
          </w:p>
        </w:tc>
        <w:tc>
          <w:tcPr>
            <w:tcW w:w="6284" w:type="dxa"/>
            <w:noWrap w:val="0"/>
            <w:vAlign w:val="center"/>
          </w:tcPr>
          <w:p w14:paraId="06E735B7">
            <w:pPr>
              <w:spacing w:line="480" w:lineRule="exact"/>
              <w:ind w:firstLine="480" w:firstLineChars="200"/>
              <w:rPr>
                <w:rFonts w:hAnsi="宋体"/>
                <w:bCs/>
                <w:sz w:val="24"/>
                <w:szCs w:val="24"/>
                <w:highlight w:val="none"/>
              </w:rPr>
            </w:pPr>
            <w:r>
              <w:rPr>
                <w:rFonts w:hint="eastAsia" w:hAnsi="宋体"/>
                <w:bCs/>
                <w:sz w:val="24"/>
                <w:szCs w:val="24"/>
                <w:highlight w:val="none"/>
              </w:rPr>
              <w:t>供应商每提供一项发明专利的，得1分，最高得2分。以彩票终端机相关发明专利证书为准</w:t>
            </w:r>
            <w:r>
              <w:rPr>
                <w:rFonts w:hint="eastAsia"/>
                <w:sz w:val="24"/>
                <w:szCs w:val="24"/>
                <w:highlight w:val="none"/>
              </w:rPr>
              <w:t>（复印件加盖公章）</w:t>
            </w:r>
            <w:r>
              <w:rPr>
                <w:rFonts w:hint="eastAsia" w:hAnsi="宋体"/>
                <w:bCs/>
                <w:sz w:val="24"/>
                <w:szCs w:val="24"/>
                <w:highlight w:val="none"/>
              </w:rPr>
              <w:t>。</w:t>
            </w:r>
          </w:p>
        </w:tc>
      </w:tr>
      <w:tr w14:paraId="3387F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73" w:type="dxa"/>
            <w:noWrap w:val="0"/>
            <w:vAlign w:val="center"/>
          </w:tcPr>
          <w:p w14:paraId="114655CE">
            <w:pPr>
              <w:widowControl/>
              <w:jc w:val="center"/>
              <w:rPr>
                <w:b/>
                <w:bCs/>
                <w:sz w:val="24"/>
                <w:highlight w:val="none"/>
              </w:rPr>
            </w:pPr>
            <w:r>
              <w:rPr>
                <w:rFonts w:hint="eastAsia"/>
                <w:b/>
                <w:bCs/>
                <w:sz w:val="24"/>
                <w:highlight w:val="none"/>
              </w:rPr>
              <w:t>3.2</w:t>
            </w:r>
          </w:p>
        </w:tc>
        <w:tc>
          <w:tcPr>
            <w:tcW w:w="810" w:type="dxa"/>
            <w:vMerge w:val="continue"/>
            <w:noWrap w:val="0"/>
            <w:vAlign w:val="center"/>
          </w:tcPr>
          <w:p w14:paraId="1C74B4AA">
            <w:pPr>
              <w:jc w:val="center"/>
              <w:rPr>
                <w:b/>
                <w:kern w:val="0"/>
                <w:sz w:val="24"/>
                <w:szCs w:val="24"/>
                <w:highlight w:val="none"/>
              </w:rPr>
            </w:pPr>
          </w:p>
        </w:tc>
        <w:tc>
          <w:tcPr>
            <w:tcW w:w="708" w:type="dxa"/>
            <w:noWrap w:val="0"/>
            <w:vAlign w:val="center"/>
          </w:tcPr>
          <w:p w14:paraId="7E8009C9">
            <w:pPr>
              <w:jc w:val="center"/>
              <w:rPr>
                <w:b/>
                <w:kern w:val="0"/>
                <w:sz w:val="24"/>
                <w:szCs w:val="24"/>
                <w:highlight w:val="none"/>
              </w:rPr>
            </w:pPr>
            <w:r>
              <w:rPr>
                <w:rFonts w:hAnsi="宋体"/>
                <w:b/>
                <w:kern w:val="0"/>
                <w:sz w:val="24"/>
                <w:szCs w:val="24"/>
                <w:highlight w:val="none"/>
              </w:rPr>
              <w:t>项目业绩</w:t>
            </w:r>
          </w:p>
        </w:tc>
        <w:tc>
          <w:tcPr>
            <w:tcW w:w="709" w:type="dxa"/>
            <w:noWrap w:val="0"/>
            <w:vAlign w:val="center"/>
          </w:tcPr>
          <w:p w14:paraId="15342982">
            <w:pPr>
              <w:widowControl/>
              <w:jc w:val="center"/>
              <w:rPr>
                <w:b/>
                <w:kern w:val="0"/>
                <w:sz w:val="24"/>
                <w:highlight w:val="none"/>
              </w:rPr>
            </w:pPr>
            <w:r>
              <w:rPr>
                <w:rFonts w:hint="eastAsia"/>
                <w:b/>
                <w:kern w:val="0"/>
                <w:sz w:val="24"/>
                <w:highlight w:val="none"/>
              </w:rPr>
              <w:t>8</w:t>
            </w:r>
          </w:p>
        </w:tc>
        <w:tc>
          <w:tcPr>
            <w:tcW w:w="6284" w:type="dxa"/>
            <w:noWrap w:val="0"/>
            <w:vAlign w:val="center"/>
          </w:tcPr>
          <w:p w14:paraId="6E3B42E2">
            <w:pPr>
              <w:spacing w:line="480" w:lineRule="exact"/>
              <w:ind w:firstLine="480" w:firstLineChars="200"/>
              <w:rPr>
                <w:bCs/>
                <w:sz w:val="24"/>
                <w:szCs w:val="24"/>
                <w:highlight w:val="none"/>
              </w:rPr>
            </w:pPr>
            <w:r>
              <w:rPr>
                <w:color w:val="000000"/>
                <w:sz w:val="24"/>
                <w:szCs w:val="24"/>
                <w:highlight w:val="none"/>
              </w:rPr>
              <w:t>供应商提供自202</w:t>
            </w:r>
            <w:r>
              <w:rPr>
                <w:rFonts w:hint="eastAsia"/>
                <w:color w:val="000000"/>
                <w:sz w:val="24"/>
                <w:szCs w:val="24"/>
                <w:highlight w:val="none"/>
                <w:lang w:val="en-US" w:eastAsia="zh-CN"/>
              </w:rPr>
              <w:t>3</w:t>
            </w:r>
            <w:r>
              <w:rPr>
                <w:color w:val="000000"/>
                <w:sz w:val="24"/>
                <w:szCs w:val="24"/>
                <w:highlight w:val="none"/>
              </w:rPr>
              <w:t>年</w:t>
            </w:r>
            <w:r>
              <w:rPr>
                <w:rFonts w:hint="eastAsia"/>
                <w:color w:val="000000"/>
                <w:sz w:val="24"/>
                <w:szCs w:val="24"/>
                <w:highlight w:val="none"/>
              </w:rPr>
              <w:t>1</w:t>
            </w:r>
            <w:r>
              <w:rPr>
                <w:color w:val="000000"/>
                <w:sz w:val="24"/>
                <w:szCs w:val="24"/>
                <w:highlight w:val="none"/>
              </w:rPr>
              <w:t>月1日</w:t>
            </w:r>
            <w:r>
              <w:rPr>
                <w:rFonts w:hAnsi="宋体"/>
                <w:bCs/>
                <w:sz w:val="24"/>
                <w:szCs w:val="24"/>
                <w:highlight w:val="none"/>
              </w:rPr>
              <w:t>起至</w:t>
            </w:r>
            <w:r>
              <w:rPr>
                <w:rFonts w:hint="eastAsia" w:hAnsi="宋体"/>
                <w:bCs/>
                <w:sz w:val="24"/>
                <w:szCs w:val="24"/>
                <w:highlight w:val="none"/>
              </w:rPr>
              <w:t>投</w:t>
            </w:r>
            <w:r>
              <w:rPr>
                <w:rFonts w:hAnsi="宋体"/>
                <w:bCs/>
                <w:sz w:val="24"/>
                <w:szCs w:val="24"/>
                <w:highlight w:val="none"/>
              </w:rPr>
              <w:t>标截止日止（以合同签订的时间为准）</w:t>
            </w:r>
            <w:r>
              <w:rPr>
                <w:rFonts w:hint="eastAsia" w:hAnsi="宋体"/>
                <w:bCs/>
                <w:sz w:val="24"/>
                <w:szCs w:val="24"/>
                <w:highlight w:val="none"/>
              </w:rPr>
              <w:t>彩票终端机</w:t>
            </w:r>
            <w:r>
              <w:rPr>
                <w:rFonts w:hAnsi="宋体"/>
                <w:bCs/>
                <w:sz w:val="24"/>
                <w:szCs w:val="24"/>
                <w:highlight w:val="none"/>
              </w:rPr>
              <w:t>的业绩情况，每提供</w:t>
            </w:r>
            <w:r>
              <w:rPr>
                <w:rFonts w:hint="eastAsia" w:hAnsi="宋体"/>
                <w:bCs/>
                <w:sz w:val="24"/>
                <w:szCs w:val="24"/>
                <w:highlight w:val="none"/>
              </w:rPr>
              <w:t>1个</w:t>
            </w:r>
            <w:r>
              <w:rPr>
                <w:rFonts w:hAnsi="宋体"/>
                <w:bCs/>
                <w:sz w:val="24"/>
                <w:szCs w:val="24"/>
                <w:highlight w:val="none"/>
              </w:rPr>
              <w:t>得</w:t>
            </w:r>
            <w:r>
              <w:rPr>
                <w:rFonts w:hint="eastAsia" w:hAnsi="宋体"/>
                <w:bCs/>
                <w:sz w:val="24"/>
                <w:szCs w:val="24"/>
                <w:highlight w:val="none"/>
              </w:rPr>
              <w:t>1</w:t>
            </w:r>
            <w:r>
              <w:rPr>
                <w:rFonts w:hAnsi="宋体"/>
                <w:bCs/>
                <w:sz w:val="24"/>
                <w:szCs w:val="24"/>
                <w:highlight w:val="none"/>
              </w:rPr>
              <w:t>分，最多得</w:t>
            </w:r>
            <w:r>
              <w:rPr>
                <w:rFonts w:hint="eastAsia" w:hAnsi="宋体"/>
                <w:bCs/>
                <w:sz w:val="24"/>
                <w:szCs w:val="24"/>
                <w:highlight w:val="none"/>
              </w:rPr>
              <w:t>8</w:t>
            </w:r>
            <w:r>
              <w:rPr>
                <w:rFonts w:hAnsi="宋体"/>
                <w:bCs/>
                <w:sz w:val="24"/>
                <w:szCs w:val="24"/>
                <w:highlight w:val="none"/>
              </w:rPr>
              <w:t>分（需提供采购合同等证明资料，</w:t>
            </w:r>
            <w:r>
              <w:rPr>
                <w:rFonts w:hint="eastAsia"/>
                <w:sz w:val="24"/>
                <w:szCs w:val="24"/>
                <w:highlight w:val="none"/>
              </w:rPr>
              <w:t>复印件加盖公章；</w:t>
            </w:r>
            <w:r>
              <w:rPr>
                <w:rFonts w:hAnsi="宋体"/>
                <w:bCs/>
                <w:sz w:val="24"/>
                <w:szCs w:val="24"/>
                <w:highlight w:val="none"/>
              </w:rPr>
              <w:t>证明资料须清晰可见采购单位、</w:t>
            </w:r>
            <w:r>
              <w:rPr>
                <w:rFonts w:hint="eastAsia" w:hAnsi="宋体"/>
                <w:bCs/>
                <w:sz w:val="24"/>
                <w:szCs w:val="24"/>
                <w:highlight w:val="none"/>
              </w:rPr>
              <w:t>合同标的</w:t>
            </w:r>
            <w:r>
              <w:rPr>
                <w:rFonts w:hAnsi="宋体"/>
                <w:bCs/>
                <w:sz w:val="24"/>
                <w:szCs w:val="24"/>
                <w:highlight w:val="none"/>
              </w:rPr>
              <w:t>、签订日期等相应内容，否则不得分）。</w:t>
            </w:r>
          </w:p>
        </w:tc>
      </w:tr>
      <w:tr w14:paraId="7C043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73" w:type="dxa"/>
            <w:noWrap w:val="0"/>
            <w:vAlign w:val="center"/>
          </w:tcPr>
          <w:p w14:paraId="3ADCBB28">
            <w:pPr>
              <w:widowControl/>
              <w:jc w:val="center"/>
              <w:rPr>
                <w:b/>
                <w:bCs/>
                <w:sz w:val="24"/>
                <w:highlight w:val="none"/>
              </w:rPr>
            </w:pPr>
            <w:r>
              <w:rPr>
                <w:rFonts w:hint="eastAsia"/>
                <w:b/>
                <w:bCs/>
                <w:sz w:val="24"/>
                <w:highlight w:val="none"/>
              </w:rPr>
              <w:t>3.3</w:t>
            </w:r>
          </w:p>
        </w:tc>
        <w:tc>
          <w:tcPr>
            <w:tcW w:w="810" w:type="dxa"/>
            <w:vMerge w:val="continue"/>
            <w:noWrap w:val="0"/>
            <w:vAlign w:val="center"/>
          </w:tcPr>
          <w:p w14:paraId="4DDCBBD2">
            <w:pPr>
              <w:widowControl/>
              <w:jc w:val="center"/>
              <w:rPr>
                <w:b/>
                <w:bCs/>
                <w:sz w:val="24"/>
                <w:szCs w:val="24"/>
                <w:highlight w:val="none"/>
              </w:rPr>
            </w:pPr>
          </w:p>
        </w:tc>
        <w:tc>
          <w:tcPr>
            <w:tcW w:w="708" w:type="dxa"/>
            <w:noWrap w:val="0"/>
            <w:vAlign w:val="center"/>
          </w:tcPr>
          <w:p w14:paraId="087ACA36">
            <w:pPr>
              <w:jc w:val="center"/>
              <w:rPr>
                <w:b/>
                <w:bCs/>
                <w:sz w:val="24"/>
                <w:szCs w:val="24"/>
                <w:highlight w:val="none"/>
              </w:rPr>
            </w:pPr>
            <w:r>
              <w:rPr>
                <w:rFonts w:hint="eastAsia"/>
                <w:b/>
                <w:bCs/>
                <w:sz w:val="24"/>
                <w:szCs w:val="24"/>
                <w:highlight w:val="none"/>
              </w:rPr>
              <w:t>管理体系</w:t>
            </w:r>
          </w:p>
        </w:tc>
        <w:tc>
          <w:tcPr>
            <w:tcW w:w="709" w:type="dxa"/>
            <w:noWrap w:val="0"/>
            <w:vAlign w:val="center"/>
          </w:tcPr>
          <w:p w14:paraId="0853F80C">
            <w:pPr>
              <w:widowControl/>
              <w:jc w:val="center"/>
              <w:rPr>
                <w:b/>
                <w:kern w:val="0"/>
                <w:sz w:val="24"/>
                <w:highlight w:val="none"/>
              </w:rPr>
            </w:pPr>
            <w:r>
              <w:rPr>
                <w:rFonts w:hint="eastAsia"/>
                <w:b/>
                <w:kern w:val="0"/>
                <w:sz w:val="24"/>
                <w:highlight w:val="none"/>
              </w:rPr>
              <w:t>2</w:t>
            </w:r>
          </w:p>
        </w:tc>
        <w:tc>
          <w:tcPr>
            <w:tcW w:w="6284" w:type="dxa"/>
            <w:noWrap w:val="0"/>
            <w:vAlign w:val="center"/>
          </w:tcPr>
          <w:p w14:paraId="6B66C0B0">
            <w:pPr>
              <w:spacing w:line="480" w:lineRule="exact"/>
              <w:ind w:firstLine="480" w:firstLineChars="200"/>
              <w:rPr>
                <w:sz w:val="24"/>
                <w:szCs w:val="24"/>
                <w:highlight w:val="none"/>
              </w:rPr>
            </w:pPr>
            <w:r>
              <w:rPr>
                <w:rFonts w:hint="eastAsia"/>
                <w:sz w:val="24"/>
                <w:szCs w:val="24"/>
                <w:highlight w:val="none"/>
              </w:rPr>
              <w:t>供应商提供ISO9000质量管理体系认证的得1分；提供ISO27001信息安全管理体系认证的得1分（复印件加盖公章）。</w:t>
            </w:r>
          </w:p>
        </w:tc>
      </w:tr>
      <w:tr w14:paraId="0E0D3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73" w:type="dxa"/>
            <w:noWrap w:val="0"/>
            <w:vAlign w:val="center"/>
          </w:tcPr>
          <w:p w14:paraId="7D0565C8">
            <w:pPr>
              <w:widowControl/>
              <w:jc w:val="center"/>
              <w:rPr>
                <w:b/>
                <w:bCs/>
                <w:sz w:val="24"/>
                <w:highlight w:val="none"/>
              </w:rPr>
            </w:pPr>
            <w:r>
              <w:rPr>
                <w:rFonts w:hint="eastAsia"/>
                <w:b/>
                <w:bCs/>
                <w:sz w:val="24"/>
                <w:highlight w:val="none"/>
              </w:rPr>
              <w:t>4</w:t>
            </w:r>
            <w:r>
              <w:rPr>
                <w:b/>
                <w:bCs/>
                <w:sz w:val="24"/>
                <w:highlight w:val="none"/>
              </w:rPr>
              <w:t>.1</w:t>
            </w:r>
          </w:p>
        </w:tc>
        <w:tc>
          <w:tcPr>
            <w:tcW w:w="810" w:type="dxa"/>
            <w:vMerge w:val="restart"/>
            <w:noWrap w:val="0"/>
            <w:vAlign w:val="center"/>
          </w:tcPr>
          <w:p w14:paraId="6AE528A9">
            <w:pPr>
              <w:jc w:val="center"/>
              <w:rPr>
                <w:b/>
                <w:bCs/>
                <w:sz w:val="24"/>
                <w:highlight w:val="none"/>
              </w:rPr>
            </w:pPr>
            <w:r>
              <w:rPr>
                <w:b/>
                <w:bCs/>
                <w:sz w:val="24"/>
                <w:highlight w:val="none"/>
              </w:rPr>
              <w:t>服务能力</w:t>
            </w:r>
          </w:p>
        </w:tc>
        <w:tc>
          <w:tcPr>
            <w:tcW w:w="708" w:type="dxa"/>
            <w:noWrap w:val="0"/>
            <w:vAlign w:val="center"/>
          </w:tcPr>
          <w:p w14:paraId="2FB63A6D">
            <w:pPr>
              <w:spacing w:line="500" w:lineRule="exact"/>
              <w:jc w:val="center"/>
              <w:rPr>
                <w:b/>
                <w:kern w:val="0"/>
                <w:sz w:val="24"/>
                <w:highlight w:val="none"/>
              </w:rPr>
            </w:pPr>
            <w:r>
              <w:rPr>
                <w:b/>
                <w:kern w:val="0"/>
                <w:sz w:val="24"/>
                <w:highlight w:val="none"/>
              </w:rPr>
              <w:t>本地化服务</w:t>
            </w:r>
          </w:p>
        </w:tc>
        <w:tc>
          <w:tcPr>
            <w:tcW w:w="709" w:type="dxa"/>
            <w:noWrap w:val="0"/>
            <w:vAlign w:val="center"/>
          </w:tcPr>
          <w:p w14:paraId="072EB7CC">
            <w:pPr>
              <w:widowControl/>
              <w:jc w:val="center"/>
              <w:rPr>
                <w:b/>
                <w:kern w:val="0"/>
                <w:sz w:val="24"/>
                <w:highlight w:val="none"/>
              </w:rPr>
            </w:pPr>
            <w:r>
              <w:rPr>
                <w:rFonts w:hint="eastAsia"/>
                <w:b/>
                <w:kern w:val="0"/>
                <w:sz w:val="24"/>
                <w:highlight w:val="none"/>
              </w:rPr>
              <w:t>2</w:t>
            </w:r>
          </w:p>
        </w:tc>
        <w:tc>
          <w:tcPr>
            <w:tcW w:w="6284" w:type="dxa"/>
            <w:noWrap w:val="0"/>
            <w:vAlign w:val="center"/>
          </w:tcPr>
          <w:p w14:paraId="40E2C249">
            <w:pPr>
              <w:spacing w:line="500" w:lineRule="exact"/>
              <w:ind w:firstLine="480" w:firstLineChars="200"/>
              <w:rPr>
                <w:sz w:val="24"/>
                <w:szCs w:val="24"/>
                <w:highlight w:val="none"/>
              </w:rPr>
            </w:pPr>
            <w:r>
              <w:rPr>
                <w:rFonts w:hint="default" w:ascii="Times New Roman" w:hAnsi="Times New Roman" w:eastAsia="宋体" w:cs="Times New Roman"/>
                <w:sz w:val="24"/>
                <w:szCs w:val="24"/>
                <w:highlight w:val="none"/>
              </w:rPr>
              <w:t>供应商已经在江苏省内设置维修服务站</w:t>
            </w:r>
            <w:r>
              <w:rPr>
                <w:rFonts w:hint="default" w:ascii="Times New Roman" w:hAnsi="Times New Roman" w:eastAsia="宋体" w:cs="Times New Roman"/>
                <w:sz w:val="24"/>
                <w:szCs w:val="24"/>
                <w:highlight w:val="none"/>
                <w:lang w:val="en-US" w:eastAsia="zh-CN"/>
              </w:rPr>
              <w:t>或承诺中标后一个月内成立本地维修服务站</w:t>
            </w:r>
            <w:r>
              <w:rPr>
                <w:rFonts w:hint="default" w:ascii="Times New Roman" w:hAnsi="Times New Roman" w:eastAsia="宋体" w:cs="Times New Roman"/>
                <w:sz w:val="24"/>
                <w:szCs w:val="24"/>
                <w:highlight w:val="none"/>
              </w:rPr>
              <w:t>的得2分，</w:t>
            </w:r>
            <w:r>
              <w:rPr>
                <w:rFonts w:hint="default" w:ascii="Times New Roman" w:hAnsi="Times New Roman" w:eastAsia="宋体" w:cs="Times New Roman"/>
                <w:sz w:val="24"/>
                <w:szCs w:val="24"/>
                <w:highlight w:val="none"/>
                <w:lang w:val="en-US" w:eastAsia="zh-CN"/>
              </w:rPr>
              <w:t>已经设置维修服务站</w:t>
            </w:r>
            <w:r>
              <w:rPr>
                <w:rFonts w:hint="default" w:ascii="Times New Roman" w:hAnsi="Times New Roman" w:eastAsia="宋体" w:cs="Times New Roman"/>
                <w:sz w:val="24"/>
                <w:szCs w:val="24"/>
                <w:highlight w:val="none"/>
              </w:rPr>
              <w:t>需提供维修服务站的房产证明或租赁协议等证明文件（复印件加盖公章）</w:t>
            </w:r>
            <w:r>
              <w:rPr>
                <w:rFonts w:hint="default" w:ascii="Times New Roman" w:hAnsi="Times New Roman" w:eastAsia="宋体" w:cs="Times New Roman"/>
                <w:sz w:val="24"/>
                <w:szCs w:val="24"/>
                <w:highlight w:val="none"/>
                <w:lang w:eastAsia="zh-CN"/>
              </w:rPr>
              <w:t>，</w:t>
            </w:r>
            <w:r>
              <w:rPr>
                <w:rFonts w:hint="default" w:ascii="Times New Roman" w:hAnsi="Times New Roman" w:eastAsia="宋体" w:cs="Times New Roman"/>
                <w:sz w:val="24"/>
                <w:szCs w:val="24"/>
                <w:highlight w:val="none"/>
              </w:rPr>
              <w:t xml:space="preserve"> </w:t>
            </w:r>
            <w:r>
              <w:rPr>
                <w:rFonts w:hint="default" w:ascii="Times New Roman" w:hAnsi="Times New Roman" w:eastAsia="宋体" w:cs="Times New Roman"/>
                <w:sz w:val="24"/>
                <w:szCs w:val="24"/>
                <w:highlight w:val="none"/>
                <w:lang w:val="en-US" w:eastAsia="zh-CN"/>
              </w:rPr>
              <w:t>承诺中标后一个月内成立本地维修服务站的提交承诺书（盖公章）</w:t>
            </w:r>
            <w:r>
              <w:rPr>
                <w:rFonts w:hint="default" w:ascii="Times New Roman" w:hAnsi="Times New Roman" w:eastAsia="宋体" w:cs="Times New Roman"/>
                <w:sz w:val="24"/>
                <w:szCs w:val="24"/>
                <w:highlight w:val="none"/>
              </w:rPr>
              <w:t>。</w:t>
            </w:r>
          </w:p>
        </w:tc>
      </w:tr>
      <w:tr w14:paraId="0B82C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73" w:type="dxa"/>
            <w:noWrap w:val="0"/>
            <w:vAlign w:val="center"/>
          </w:tcPr>
          <w:p w14:paraId="1C052C88">
            <w:pPr>
              <w:widowControl/>
              <w:jc w:val="center"/>
              <w:rPr>
                <w:rFonts w:hint="eastAsia"/>
                <w:b/>
                <w:bCs/>
                <w:sz w:val="24"/>
                <w:highlight w:val="none"/>
              </w:rPr>
            </w:pPr>
            <w:r>
              <w:rPr>
                <w:rFonts w:hint="eastAsia"/>
                <w:b/>
                <w:bCs/>
                <w:sz w:val="24"/>
                <w:highlight w:val="none"/>
              </w:rPr>
              <w:t>4.2</w:t>
            </w:r>
          </w:p>
        </w:tc>
        <w:tc>
          <w:tcPr>
            <w:tcW w:w="810" w:type="dxa"/>
            <w:vMerge w:val="continue"/>
            <w:noWrap w:val="0"/>
            <w:vAlign w:val="center"/>
          </w:tcPr>
          <w:p w14:paraId="2CC9FC94">
            <w:pPr>
              <w:jc w:val="center"/>
              <w:rPr>
                <w:b/>
                <w:bCs/>
                <w:sz w:val="24"/>
                <w:highlight w:val="none"/>
              </w:rPr>
            </w:pPr>
          </w:p>
        </w:tc>
        <w:tc>
          <w:tcPr>
            <w:tcW w:w="708" w:type="dxa"/>
            <w:noWrap w:val="0"/>
            <w:vAlign w:val="center"/>
          </w:tcPr>
          <w:p w14:paraId="215A8000">
            <w:pPr>
              <w:spacing w:line="500" w:lineRule="exact"/>
              <w:jc w:val="center"/>
              <w:rPr>
                <w:b/>
                <w:kern w:val="0"/>
                <w:sz w:val="24"/>
                <w:szCs w:val="21"/>
                <w:highlight w:val="none"/>
              </w:rPr>
            </w:pPr>
            <w:r>
              <w:rPr>
                <w:rFonts w:hint="eastAsia"/>
                <w:b/>
                <w:kern w:val="0"/>
                <w:sz w:val="24"/>
                <w:highlight w:val="none"/>
              </w:rPr>
              <w:t>交货时间</w:t>
            </w:r>
          </w:p>
        </w:tc>
        <w:tc>
          <w:tcPr>
            <w:tcW w:w="709" w:type="dxa"/>
            <w:noWrap w:val="0"/>
            <w:vAlign w:val="center"/>
          </w:tcPr>
          <w:p w14:paraId="096D85DD">
            <w:pPr>
              <w:widowControl/>
              <w:jc w:val="center"/>
              <w:rPr>
                <w:b/>
                <w:kern w:val="0"/>
                <w:sz w:val="24"/>
                <w:szCs w:val="21"/>
                <w:highlight w:val="none"/>
              </w:rPr>
            </w:pPr>
            <w:r>
              <w:rPr>
                <w:b/>
                <w:kern w:val="0"/>
                <w:sz w:val="24"/>
                <w:highlight w:val="none"/>
              </w:rPr>
              <w:t>3</w:t>
            </w:r>
          </w:p>
        </w:tc>
        <w:tc>
          <w:tcPr>
            <w:tcW w:w="6284" w:type="dxa"/>
            <w:noWrap w:val="0"/>
            <w:vAlign w:val="center"/>
          </w:tcPr>
          <w:p w14:paraId="2DB8FC20">
            <w:pPr>
              <w:spacing w:line="500" w:lineRule="exact"/>
              <w:ind w:firstLine="480" w:firstLineChars="200"/>
              <w:rPr>
                <w:sz w:val="24"/>
                <w:szCs w:val="24"/>
                <w:highlight w:val="none"/>
              </w:rPr>
            </w:pPr>
            <w:r>
              <w:rPr>
                <w:rFonts w:hint="eastAsia"/>
                <w:sz w:val="24"/>
                <w:szCs w:val="24"/>
                <w:highlight w:val="none"/>
              </w:rPr>
              <w:t>交货时间满足招标文件要求的不得分，每提前</w:t>
            </w:r>
            <w:r>
              <w:rPr>
                <w:sz w:val="24"/>
                <w:szCs w:val="24"/>
                <w:highlight w:val="none"/>
              </w:rPr>
              <w:t>5</w:t>
            </w:r>
            <w:r>
              <w:rPr>
                <w:rFonts w:hint="eastAsia"/>
                <w:sz w:val="24"/>
                <w:szCs w:val="24"/>
                <w:highlight w:val="none"/>
              </w:rPr>
              <w:t>天加</w:t>
            </w:r>
            <w:r>
              <w:rPr>
                <w:sz w:val="24"/>
                <w:szCs w:val="24"/>
                <w:highlight w:val="none"/>
              </w:rPr>
              <w:t>1.5</w:t>
            </w:r>
            <w:r>
              <w:rPr>
                <w:rFonts w:hint="eastAsia"/>
                <w:sz w:val="24"/>
                <w:szCs w:val="24"/>
                <w:highlight w:val="none"/>
              </w:rPr>
              <w:t>分，最多加</w:t>
            </w:r>
            <w:r>
              <w:rPr>
                <w:sz w:val="24"/>
                <w:szCs w:val="24"/>
                <w:highlight w:val="none"/>
              </w:rPr>
              <w:t>3</w:t>
            </w:r>
            <w:r>
              <w:rPr>
                <w:rFonts w:hint="eastAsia"/>
                <w:sz w:val="24"/>
                <w:szCs w:val="24"/>
                <w:highlight w:val="none"/>
              </w:rPr>
              <w:t>分。</w:t>
            </w:r>
          </w:p>
        </w:tc>
      </w:tr>
      <w:tr w14:paraId="445A2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73" w:type="dxa"/>
            <w:noWrap w:val="0"/>
            <w:vAlign w:val="center"/>
          </w:tcPr>
          <w:p w14:paraId="7D5A0AD2">
            <w:pPr>
              <w:widowControl/>
              <w:jc w:val="center"/>
              <w:rPr>
                <w:rFonts w:hint="eastAsia"/>
                <w:b/>
                <w:bCs/>
                <w:sz w:val="24"/>
                <w:highlight w:val="none"/>
              </w:rPr>
            </w:pPr>
            <w:r>
              <w:rPr>
                <w:rFonts w:hint="eastAsia"/>
                <w:b/>
                <w:bCs/>
                <w:sz w:val="24"/>
                <w:highlight w:val="none"/>
              </w:rPr>
              <w:t>4.3</w:t>
            </w:r>
          </w:p>
        </w:tc>
        <w:tc>
          <w:tcPr>
            <w:tcW w:w="810" w:type="dxa"/>
            <w:vMerge w:val="continue"/>
            <w:noWrap w:val="0"/>
            <w:vAlign w:val="center"/>
          </w:tcPr>
          <w:p w14:paraId="01591343">
            <w:pPr>
              <w:jc w:val="center"/>
              <w:rPr>
                <w:b/>
                <w:bCs/>
                <w:sz w:val="24"/>
                <w:highlight w:val="none"/>
              </w:rPr>
            </w:pPr>
          </w:p>
        </w:tc>
        <w:tc>
          <w:tcPr>
            <w:tcW w:w="708" w:type="dxa"/>
            <w:noWrap w:val="0"/>
            <w:vAlign w:val="center"/>
          </w:tcPr>
          <w:p w14:paraId="00DB159F">
            <w:pPr>
              <w:widowControl/>
              <w:spacing w:line="360" w:lineRule="exact"/>
              <w:jc w:val="center"/>
              <w:rPr>
                <w:b/>
                <w:bCs/>
                <w:sz w:val="24"/>
                <w:szCs w:val="24"/>
                <w:highlight w:val="none"/>
              </w:rPr>
            </w:pPr>
            <w:r>
              <w:rPr>
                <w:rFonts w:hint="eastAsia"/>
                <w:b/>
                <w:bCs/>
                <w:sz w:val="24"/>
                <w:szCs w:val="24"/>
                <w:highlight w:val="none"/>
              </w:rPr>
              <w:t>免费保修期</w:t>
            </w:r>
          </w:p>
        </w:tc>
        <w:tc>
          <w:tcPr>
            <w:tcW w:w="709" w:type="dxa"/>
            <w:noWrap w:val="0"/>
            <w:vAlign w:val="center"/>
          </w:tcPr>
          <w:p w14:paraId="15CE300D">
            <w:pPr>
              <w:widowControl/>
              <w:jc w:val="center"/>
              <w:rPr>
                <w:b/>
                <w:kern w:val="0"/>
                <w:sz w:val="24"/>
                <w:szCs w:val="21"/>
                <w:highlight w:val="none"/>
              </w:rPr>
            </w:pPr>
            <w:r>
              <w:rPr>
                <w:b/>
                <w:kern w:val="0"/>
                <w:sz w:val="24"/>
                <w:highlight w:val="none"/>
              </w:rPr>
              <w:t>2</w:t>
            </w:r>
          </w:p>
        </w:tc>
        <w:tc>
          <w:tcPr>
            <w:tcW w:w="6284" w:type="dxa"/>
            <w:noWrap w:val="0"/>
            <w:vAlign w:val="center"/>
          </w:tcPr>
          <w:p w14:paraId="77589CDF">
            <w:pPr>
              <w:spacing w:line="500" w:lineRule="exact"/>
              <w:ind w:firstLine="480" w:firstLineChars="200"/>
              <w:rPr>
                <w:sz w:val="24"/>
                <w:szCs w:val="24"/>
                <w:highlight w:val="none"/>
              </w:rPr>
            </w:pPr>
            <w:r>
              <w:rPr>
                <w:rFonts w:hint="default" w:ascii="Times New Roman" w:hAnsi="Times New Roman" w:eastAsia="宋体" w:cs="Times New Roman"/>
                <w:sz w:val="24"/>
                <w:szCs w:val="24"/>
                <w:highlight w:val="none"/>
              </w:rPr>
              <w:t>供应商书面承诺免费保修时间6年</w:t>
            </w:r>
            <w:r>
              <w:rPr>
                <w:rFonts w:hint="eastAsia" w:ascii="Times New Roman" w:hAnsi="Times New Roman" w:eastAsia="宋体" w:cs="Times New Roman"/>
                <w:sz w:val="24"/>
                <w:szCs w:val="24"/>
                <w:highlight w:val="none"/>
                <w:lang w:val="en-US" w:eastAsia="zh-CN"/>
              </w:rPr>
              <w:t>及</w:t>
            </w:r>
            <w:r>
              <w:rPr>
                <w:rFonts w:hint="default" w:ascii="Times New Roman" w:hAnsi="Times New Roman" w:eastAsia="宋体" w:cs="Times New Roman"/>
                <w:sz w:val="24"/>
                <w:szCs w:val="24"/>
                <w:highlight w:val="none"/>
              </w:rPr>
              <w:t>以上的得2分。</w:t>
            </w:r>
          </w:p>
        </w:tc>
      </w:tr>
      <w:tr w14:paraId="0672A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73" w:type="dxa"/>
            <w:noWrap w:val="0"/>
            <w:vAlign w:val="center"/>
          </w:tcPr>
          <w:p w14:paraId="631AED45">
            <w:pPr>
              <w:widowControl/>
              <w:jc w:val="center"/>
              <w:rPr>
                <w:b/>
                <w:bCs/>
                <w:sz w:val="24"/>
                <w:highlight w:val="none"/>
              </w:rPr>
            </w:pPr>
            <w:r>
              <w:rPr>
                <w:rFonts w:hint="eastAsia"/>
                <w:b/>
                <w:bCs/>
                <w:sz w:val="24"/>
                <w:highlight w:val="none"/>
              </w:rPr>
              <w:t>4.4</w:t>
            </w:r>
          </w:p>
        </w:tc>
        <w:tc>
          <w:tcPr>
            <w:tcW w:w="810" w:type="dxa"/>
            <w:vMerge w:val="continue"/>
            <w:noWrap w:val="0"/>
            <w:vAlign w:val="center"/>
          </w:tcPr>
          <w:p w14:paraId="640F41A6">
            <w:pPr>
              <w:jc w:val="center"/>
              <w:rPr>
                <w:b/>
                <w:bCs/>
                <w:sz w:val="24"/>
                <w:highlight w:val="none"/>
              </w:rPr>
            </w:pPr>
          </w:p>
        </w:tc>
        <w:tc>
          <w:tcPr>
            <w:tcW w:w="708" w:type="dxa"/>
            <w:noWrap w:val="0"/>
            <w:vAlign w:val="center"/>
          </w:tcPr>
          <w:p w14:paraId="2A957CF7">
            <w:pPr>
              <w:jc w:val="center"/>
              <w:rPr>
                <w:b/>
                <w:kern w:val="0"/>
                <w:sz w:val="24"/>
                <w:highlight w:val="none"/>
              </w:rPr>
            </w:pPr>
            <w:r>
              <w:rPr>
                <w:b/>
                <w:kern w:val="0"/>
                <w:sz w:val="24"/>
                <w:highlight w:val="none"/>
              </w:rPr>
              <w:t>售后服务方案</w:t>
            </w:r>
          </w:p>
        </w:tc>
        <w:tc>
          <w:tcPr>
            <w:tcW w:w="709" w:type="dxa"/>
            <w:noWrap w:val="0"/>
            <w:vAlign w:val="center"/>
          </w:tcPr>
          <w:p w14:paraId="5CCC00E2">
            <w:pPr>
              <w:widowControl/>
              <w:jc w:val="center"/>
              <w:rPr>
                <w:b/>
                <w:kern w:val="0"/>
                <w:sz w:val="24"/>
                <w:highlight w:val="none"/>
              </w:rPr>
            </w:pPr>
            <w:r>
              <w:rPr>
                <w:rFonts w:hint="eastAsia"/>
                <w:b/>
                <w:kern w:val="0"/>
                <w:sz w:val="24"/>
                <w:highlight w:val="none"/>
              </w:rPr>
              <w:t>5</w:t>
            </w:r>
          </w:p>
        </w:tc>
        <w:tc>
          <w:tcPr>
            <w:tcW w:w="6284" w:type="dxa"/>
            <w:noWrap w:val="0"/>
            <w:vAlign w:val="center"/>
          </w:tcPr>
          <w:p w14:paraId="15065CBD">
            <w:pPr>
              <w:spacing w:line="500" w:lineRule="exact"/>
              <w:ind w:firstLine="480" w:firstLineChars="200"/>
              <w:rPr>
                <w:sz w:val="24"/>
                <w:szCs w:val="24"/>
                <w:highlight w:val="none"/>
              </w:rPr>
            </w:pPr>
            <w:r>
              <w:rPr>
                <w:rFonts w:hint="default" w:ascii="Times New Roman" w:hAnsi="Times New Roman" w:eastAsia="宋体" w:cs="Times New Roman"/>
                <w:sz w:val="24"/>
                <w:szCs w:val="24"/>
                <w:highlight w:val="none"/>
              </w:rPr>
              <w:t>售后服务方案（包括但不限于服务体系、售后服务组织、技术保障措施、备件供应、本地维修站维修备件比例等）完整、全面、针对性强得5分；售后服务方案完整、全面、针对性一般得3分；售后服务方案虽然完整、全面，但没有针对性得1分；其他或未提供的不得分。</w:t>
            </w:r>
          </w:p>
        </w:tc>
      </w:tr>
      <w:tr w14:paraId="7D48E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73" w:type="dxa"/>
            <w:noWrap w:val="0"/>
            <w:vAlign w:val="center"/>
          </w:tcPr>
          <w:p w14:paraId="6C60DF14">
            <w:pPr>
              <w:widowControl/>
              <w:jc w:val="center"/>
              <w:rPr>
                <w:b/>
                <w:bCs/>
                <w:sz w:val="24"/>
                <w:highlight w:val="none"/>
              </w:rPr>
            </w:pPr>
            <w:r>
              <w:rPr>
                <w:rFonts w:hint="eastAsia"/>
                <w:b/>
                <w:bCs/>
                <w:sz w:val="24"/>
                <w:highlight w:val="none"/>
              </w:rPr>
              <w:t>4.5</w:t>
            </w:r>
          </w:p>
        </w:tc>
        <w:tc>
          <w:tcPr>
            <w:tcW w:w="810" w:type="dxa"/>
            <w:vMerge w:val="continue"/>
            <w:noWrap w:val="0"/>
            <w:vAlign w:val="center"/>
          </w:tcPr>
          <w:p w14:paraId="3A8D0EF8">
            <w:pPr>
              <w:jc w:val="center"/>
              <w:rPr>
                <w:b/>
                <w:bCs/>
                <w:sz w:val="24"/>
                <w:highlight w:val="none"/>
              </w:rPr>
            </w:pPr>
          </w:p>
        </w:tc>
        <w:tc>
          <w:tcPr>
            <w:tcW w:w="708" w:type="dxa"/>
            <w:noWrap w:val="0"/>
            <w:vAlign w:val="center"/>
          </w:tcPr>
          <w:p w14:paraId="37D87999">
            <w:pPr>
              <w:jc w:val="center"/>
              <w:rPr>
                <w:b/>
                <w:kern w:val="0"/>
                <w:sz w:val="24"/>
                <w:highlight w:val="none"/>
              </w:rPr>
            </w:pPr>
            <w:r>
              <w:rPr>
                <w:b/>
                <w:kern w:val="0"/>
                <w:sz w:val="24"/>
                <w:highlight w:val="none"/>
              </w:rPr>
              <w:t>售后服务人员情况</w:t>
            </w:r>
          </w:p>
        </w:tc>
        <w:tc>
          <w:tcPr>
            <w:tcW w:w="709" w:type="dxa"/>
            <w:noWrap w:val="0"/>
            <w:vAlign w:val="center"/>
          </w:tcPr>
          <w:p w14:paraId="5A92E3CA">
            <w:pPr>
              <w:widowControl/>
              <w:jc w:val="center"/>
              <w:rPr>
                <w:b/>
                <w:kern w:val="0"/>
                <w:sz w:val="24"/>
                <w:highlight w:val="none"/>
              </w:rPr>
            </w:pPr>
            <w:r>
              <w:rPr>
                <w:rFonts w:hint="eastAsia"/>
                <w:b/>
                <w:kern w:val="0"/>
                <w:sz w:val="24"/>
                <w:highlight w:val="none"/>
              </w:rPr>
              <w:t>3</w:t>
            </w:r>
          </w:p>
        </w:tc>
        <w:tc>
          <w:tcPr>
            <w:tcW w:w="6284" w:type="dxa"/>
            <w:noWrap w:val="0"/>
            <w:vAlign w:val="center"/>
          </w:tcPr>
          <w:p w14:paraId="40A42FA7">
            <w:pPr>
              <w:pStyle w:val="28"/>
              <w:keepNext w:val="0"/>
              <w:keepLines w:val="0"/>
              <w:pageBreakBefore w:val="0"/>
              <w:widowControl w:val="0"/>
              <w:numPr>
                <w:ilvl w:val="0"/>
                <w:numId w:val="0"/>
              </w:numPr>
              <w:kinsoku/>
              <w:wordWrap/>
              <w:overflowPunct/>
              <w:topLinePunct w:val="0"/>
              <w:autoSpaceDE/>
              <w:autoSpaceDN/>
              <w:bidi w:val="0"/>
              <w:snapToGrid/>
              <w:spacing w:line="590" w:lineRule="exact"/>
              <w:ind w:firstLine="480" w:firstLineChars="200"/>
              <w:jc w:val="both"/>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供应商有固定的售后服务团队，江苏省内维修服务站配有专门服务人员超过2人的得3分，专门服务人员为2人的得2分，专门服务人员为1人的得1分，没有专门服务人员的不得分。</w:t>
            </w:r>
          </w:p>
          <w:p w14:paraId="60397A02">
            <w:pPr>
              <w:spacing w:line="500" w:lineRule="exact"/>
              <w:ind w:firstLine="480" w:firstLineChars="200"/>
              <w:rPr>
                <w:sz w:val="24"/>
                <w:szCs w:val="24"/>
                <w:highlight w:val="none"/>
              </w:rPr>
            </w:pPr>
            <w:r>
              <w:rPr>
                <w:rFonts w:hint="default" w:ascii="Times New Roman" w:hAnsi="Times New Roman" w:eastAsia="宋体" w:cs="Times New Roman"/>
                <w:color w:val="auto"/>
                <w:kern w:val="2"/>
                <w:sz w:val="24"/>
                <w:szCs w:val="24"/>
                <w:highlight w:val="none"/>
                <w:lang w:val="en-US" w:eastAsia="zh-CN" w:bidi="ar-SA"/>
              </w:rPr>
              <w:t>需提供人员清单和专业能力等的证明材料（复印件加盖公章）。</w:t>
            </w:r>
          </w:p>
        </w:tc>
      </w:tr>
      <w:tr w14:paraId="3AB06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73" w:type="dxa"/>
            <w:noWrap w:val="0"/>
            <w:vAlign w:val="center"/>
          </w:tcPr>
          <w:p w14:paraId="475D012A">
            <w:pPr>
              <w:widowControl/>
              <w:jc w:val="center"/>
              <w:rPr>
                <w:b/>
                <w:bCs/>
                <w:sz w:val="24"/>
                <w:highlight w:val="none"/>
              </w:rPr>
            </w:pPr>
            <w:r>
              <w:rPr>
                <w:rFonts w:hint="eastAsia"/>
                <w:b/>
                <w:bCs/>
                <w:sz w:val="24"/>
                <w:highlight w:val="none"/>
              </w:rPr>
              <w:t>4.6</w:t>
            </w:r>
          </w:p>
        </w:tc>
        <w:tc>
          <w:tcPr>
            <w:tcW w:w="810" w:type="dxa"/>
            <w:vMerge w:val="continue"/>
            <w:noWrap w:val="0"/>
            <w:vAlign w:val="center"/>
          </w:tcPr>
          <w:p w14:paraId="6FFA487F">
            <w:pPr>
              <w:jc w:val="center"/>
              <w:rPr>
                <w:b/>
                <w:bCs/>
                <w:sz w:val="24"/>
                <w:highlight w:val="none"/>
              </w:rPr>
            </w:pPr>
          </w:p>
        </w:tc>
        <w:tc>
          <w:tcPr>
            <w:tcW w:w="708" w:type="dxa"/>
            <w:noWrap w:val="0"/>
            <w:vAlign w:val="center"/>
          </w:tcPr>
          <w:p w14:paraId="7FAFC772">
            <w:pPr>
              <w:jc w:val="center"/>
              <w:rPr>
                <w:b/>
                <w:kern w:val="0"/>
                <w:sz w:val="24"/>
                <w:highlight w:val="none"/>
              </w:rPr>
            </w:pPr>
            <w:r>
              <w:rPr>
                <w:b/>
                <w:kern w:val="0"/>
                <w:sz w:val="24"/>
                <w:highlight w:val="none"/>
              </w:rPr>
              <w:t>应急能力</w:t>
            </w:r>
          </w:p>
        </w:tc>
        <w:tc>
          <w:tcPr>
            <w:tcW w:w="709" w:type="dxa"/>
            <w:noWrap w:val="0"/>
            <w:vAlign w:val="center"/>
          </w:tcPr>
          <w:p w14:paraId="21F816C9">
            <w:pPr>
              <w:widowControl/>
              <w:jc w:val="center"/>
              <w:rPr>
                <w:b/>
                <w:kern w:val="0"/>
                <w:sz w:val="24"/>
                <w:highlight w:val="none"/>
              </w:rPr>
            </w:pPr>
            <w:r>
              <w:rPr>
                <w:rFonts w:hint="eastAsia"/>
                <w:b/>
                <w:kern w:val="0"/>
                <w:sz w:val="24"/>
                <w:highlight w:val="none"/>
              </w:rPr>
              <w:t>5</w:t>
            </w:r>
          </w:p>
        </w:tc>
        <w:tc>
          <w:tcPr>
            <w:tcW w:w="6284" w:type="dxa"/>
            <w:noWrap w:val="0"/>
            <w:vAlign w:val="center"/>
          </w:tcPr>
          <w:p w14:paraId="675A79AB">
            <w:pPr>
              <w:spacing w:line="500" w:lineRule="exact"/>
              <w:ind w:firstLine="480" w:firstLineChars="200"/>
              <w:rPr>
                <w:sz w:val="24"/>
                <w:szCs w:val="24"/>
                <w:highlight w:val="none"/>
              </w:rPr>
            </w:pPr>
            <w:r>
              <w:rPr>
                <w:rFonts w:hint="default" w:ascii="Times New Roman" w:hAnsi="Times New Roman" w:eastAsia="宋体" w:cs="Times New Roman"/>
                <w:color w:val="auto"/>
                <w:kern w:val="2"/>
                <w:sz w:val="24"/>
                <w:szCs w:val="24"/>
                <w:highlight w:val="none"/>
                <w:lang w:val="en-US" w:eastAsia="zh-CN" w:bidi="ar-SA"/>
              </w:rPr>
              <w:t>应急解决方案具体全面，措施到位，操作性强的得5分；应急解决方案较具体全面，措施基本到位，操作性较强的得3分；应急解决方案不够具体全面，操作性一般的得1分；应急解决方案过于简单，措施不到位的不得分。</w:t>
            </w:r>
          </w:p>
        </w:tc>
      </w:tr>
      <w:tr w14:paraId="02056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73" w:type="dxa"/>
            <w:noWrap w:val="0"/>
            <w:vAlign w:val="center"/>
          </w:tcPr>
          <w:p w14:paraId="1B757473">
            <w:pPr>
              <w:widowControl/>
              <w:jc w:val="center"/>
              <w:rPr>
                <w:b/>
                <w:bCs/>
                <w:sz w:val="24"/>
                <w:highlight w:val="none"/>
              </w:rPr>
            </w:pPr>
            <w:r>
              <w:rPr>
                <w:rFonts w:hint="eastAsia"/>
                <w:b/>
                <w:bCs/>
                <w:sz w:val="24"/>
                <w:highlight w:val="none"/>
              </w:rPr>
              <w:t>4.7</w:t>
            </w:r>
          </w:p>
        </w:tc>
        <w:tc>
          <w:tcPr>
            <w:tcW w:w="810" w:type="dxa"/>
            <w:vMerge w:val="continue"/>
            <w:noWrap w:val="0"/>
            <w:vAlign w:val="center"/>
          </w:tcPr>
          <w:p w14:paraId="39076637">
            <w:pPr>
              <w:jc w:val="center"/>
              <w:rPr>
                <w:b/>
                <w:bCs/>
                <w:sz w:val="24"/>
                <w:highlight w:val="none"/>
              </w:rPr>
            </w:pPr>
          </w:p>
        </w:tc>
        <w:tc>
          <w:tcPr>
            <w:tcW w:w="708" w:type="dxa"/>
            <w:noWrap w:val="0"/>
            <w:vAlign w:val="center"/>
          </w:tcPr>
          <w:p w14:paraId="6C54E987">
            <w:pPr>
              <w:jc w:val="center"/>
              <w:rPr>
                <w:rFonts w:hAnsi="宋体"/>
                <w:b/>
                <w:kern w:val="0"/>
                <w:sz w:val="24"/>
                <w:highlight w:val="none"/>
              </w:rPr>
            </w:pPr>
            <w:r>
              <w:rPr>
                <w:rFonts w:hint="eastAsia" w:hAnsi="宋体"/>
                <w:b/>
                <w:kern w:val="0"/>
                <w:sz w:val="24"/>
                <w:highlight w:val="none"/>
              </w:rPr>
              <w:t>培训方案</w:t>
            </w:r>
          </w:p>
        </w:tc>
        <w:tc>
          <w:tcPr>
            <w:tcW w:w="709" w:type="dxa"/>
            <w:noWrap w:val="0"/>
            <w:vAlign w:val="center"/>
          </w:tcPr>
          <w:p w14:paraId="4BC46411">
            <w:pPr>
              <w:widowControl/>
              <w:jc w:val="center"/>
              <w:rPr>
                <w:b/>
                <w:kern w:val="0"/>
                <w:sz w:val="24"/>
                <w:highlight w:val="none"/>
              </w:rPr>
            </w:pPr>
            <w:r>
              <w:rPr>
                <w:rFonts w:hint="eastAsia"/>
                <w:b/>
                <w:kern w:val="0"/>
                <w:sz w:val="24"/>
                <w:highlight w:val="none"/>
              </w:rPr>
              <w:t>4</w:t>
            </w:r>
          </w:p>
        </w:tc>
        <w:tc>
          <w:tcPr>
            <w:tcW w:w="6284" w:type="dxa"/>
            <w:noWrap w:val="0"/>
            <w:vAlign w:val="top"/>
          </w:tcPr>
          <w:p w14:paraId="12858F75">
            <w:pPr>
              <w:spacing w:line="500" w:lineRule="exact"/>
              <w:ind w:firstLine="480" w:firstLineChars="200"/>
              <w:rPr>
                <w:sz w:val="24"/>
                <w:szCs w:val="24"/>
                <w:highlight w:val="none"/>
              </w:rPr>
            </w:pPr>
            <w:r>
              <w:rPr>
                <w:rFonts w:hint="default" w:ascii="Times New Roman" w:hAnsi="Times New Roman" w:eastAsia="宋体" w:cs="Times New Roman"/>
                <w:color w:val="auto"/>
                <w:kern w:val="2"/>
                <w:sz w:val="24"/>
                <w:szCs w:val="24"/>
                <w:highlight w:val="none"/>
                <w:lang w:val="en-US" w:eastAsia="zh-CN" w:bidi="ar-SA"/>
              </w:rPr>
              <w:t>根据供应商提供的培训方案、培训计划的可行性、合理性、有效性情况综合评分，培训方案中需包含培训方式、授课人员的组成、培训内容，培训计划，培训目标等。培训方案可行、合理，有效性强的得4分；基本满足项目需求的得2分；不满足项目需求或未提供方案的不得分。</w:t>
            </w:r>
          </w:p>
        </w:tc>
      </w:tr>
      <w:tr w14:paraId="6D6A2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73" w:type="dxa"/>
            <w:noWrap w:val="0"/>
            <w:vAlign w:val="center"/>
          </w:tcPr>
          <w:p w14:paraId="53D90BBD">
            <w:pPr>
              <w:widowControl/>
              <w:jc w:val="center"/>
              <w:rPr>
                <w:b/>
                <w:bCs/>
                <w:sz w:val="24"/>
                <w:highlight w:val="none"/>
              </w:rPr>
            </w:pPr>
            <w:r>
              <w:rPr>
                <w:rFonts w:hint="eastAsia"/>
                <w:b/>
                <w:bCs/>
                <w:sz w:val="24"/>
                <w:highlight w:val="none"/>
              </w:rPr>
              <w:t>4.8</w:t>
            </w:r>
          </w:p>
        </w:tc>
        <w:tc>
          <w:tcPr>
            <w:tcW w:w="810" w:type="dxa"/>
            <w:vMerge w:val="continue"/>
            <w:noWrap w:val="0"/>
            <w:vAlign w:val="center"/>
          </w:tcPr>
          <w:p w14:paraId="491972E7">
            <w:pPr>
              <w:jc w:val="center"/>
              <w:rPr>
                <w:b/>
                <w:bCs/>
                <w:sz w:val="24"/>
                <w:highlight w:val="none"/>
              </w:rPr>
            </w:pPr>
          </w:p>
        </w:tc>
        <w:tc>
          <w:tcPr>
            <w:tcW w:w="708" w:type="dxa"/>
            <w:noWrap w:val="0"/>
            <w:vAlign w:val="center"/>
          </w:tcPr>
          <w:p w14:paraId="1FB5B5D8">
            <w:pPr>
              <w:widowControl/>
              <w:jc w:val="center"/>
              <w:rPr>
                <w:b/>
                <w:bCs/>
                <w:sz w:val="24"/>
                <w:szCs w:val="24"/>
                <w:highlight w:val="none"/>
              </w:rPr>
            </w:pPr>
            <w:r>
              <w:rPr>
                <w:rFonts w:hint="eastAsia"/>
                <w:b/>
                <w:bCs/>
                <w:sz w:val="24"/>
                <w:szCs w:val="24"/>
                <w:highlight w:val="none"/>
              </w:rPr>
              <w:t>保外维修部件价格</w:t>
            </w:r>
          </w:p>
        </w:tc>
        <w:tc>
          <w:tcPr>
            <w:tcW w:w="709" w:type="dxa"/>
            <w:noWrap w:val="0"/>
            <w:vAlign w:val="center"/>
          </w:tcPr>
          <w:p w14:paraId="0188FA0B">
            <w:pPr>
              <w:widowControl/>
              <w:jc w:val="center"/>
              <w:rPr>
                <w:b/>
                <w:kern w:val="0"/>
                <w:sz w:val="24"/>
                <w:highlight w:val="none"/>
              </w:rPr>
            </w:pPr>
            <w:r>
              <w:rPr>
                <w:rFonts w:hint="eastAsia"/>
                <w:b/>
                <w:kern w:val="0"/>
                <w:sz w:val="24"/>
                <w:highlight w:val="none"/>
              </w:rPr>
              <w:t>6</w:t>
            </w:r>
          </w:p>
        </w:tc>
        <w:tc>
          <w:tcPr>
            <w:tcW w:w="6284" w:type="dxa"/>
            <w:noWrap w:val="0"/>
            <w:vAlign w:val="center"/>
          </w:tcPr>
          <w:p w14:paraId="19F0C0C9">
            <w:pPr>
              <w:spacing w:line="480" w:lineRule="exact"/>
              <w:ind w:firstLine="480" w:firstLineChars="200"/>
              <w:rPr>
                <w:sz w:val="24"/>
                <w:highlight w:val="none"/>
              </w:rPr>
            </w:pPr>
            <w:r>
              <w:rPr>
                <w:rFonts w:hint="default" w:ascii="Times New Roman" w:hAnsi="Times New Roman" w:eastAsia="宋体" w:cs="Times New Roman"/>
                <w:color w:val="auto"/>
                <w:kern w:val="2"/>
                <w:sz w:val="24"/>
                <w:szCs w:val="24"/>
                <w:highlight w:val="none"/>
                <w:lang w:val="en-US" w:eastAsia="zh-CN" w:bidi="ar-SA"/>
              </w:rPr>
              <w:t>供应商提供的保外维修部件显示器（含主副显）、主板、CPU、内存、主存、打印机、电源适配器等价格总额不高于整机报价的得6分，价格总额在100%到120%之间的得4.5分，价格总额在120%到135%之间的得3分，价格总额在135%到150%之间的得1.5分。</w:t>
            </w:r>
          </w:p>
        </w:tc>
      </w:tr>
      <w:tr w14:paraId="086D8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73" w:type="dxa"/>
            <w:noWrap w:val="0"/>
            <w:vAlign w:val="center"/>
          </w:tcPr>
          <w:p w14:paraId="00170F79">
            <w:pPr>
              <w:widowControl/>
              <w:jc w:val="center"/>
              <w:rPr>
                <w:b/>
                <w:bCs/>
                <w:sz w:val="24"/>
                <w:highlight w:val="none"/>
              </w:rPr>
            </w:pPr>
            <w:r>
              <w:rPr>
                <w:rFonts w:hint="eastAsia"/>
                <w:b/>
                <w:bCs/>
                <w:sz w:val="24"/>
                <w:highlight w:val="none"/>
              </w:rPr>
              <w:t>5.1</w:t>
            </w:r>
          </w:p>
        </w:tc>
        <w:tc>
          <w:tcPr>
            <w:tcW w:w="810" w:type="dxa"/>
            <w:vMerge w:val="restart"/>
            <w:noWrap w:val="0"/>
            <w:vAlign w:val="center"/>
          </w:tcPr>
          <w:p w14:paraId="5912813A">
            <w:pPr>
              <w:jc w:val="center"/>
              <w:rPr>
                <w:b/>
                <w:bCs/>
                <w:sz w:val="24"/>
                <w:highlight w:val="none"/>
              </w:rPr>
            </w:pPr>
            <w:r>
              <w:rPr>
                <w:rFonts w:hint="eastAsia" w:ascii="宋体" w:hAnsi="宋体"/>
                <w:b/>
                <w:sz w:val="24"/>
                <w:highlight w:val="none"/>
              </w:rPr>
              <w:t>政策功能</w:t>
            </w:r>
          </w:p>
        </w:tc>
        <w:tc>
          <w:tcPr>
            <w:tcW w:w="708" w:type="dxa"/>
            <w:noWrap w:val="0"/>
            <w:vAlign w:val="center"/>
          </w:tcPr>
          <w:p w14:paraId="56C2ABA7">
            <w:pPr>
              <w:widowControl/>
              <w:jc w:val="center"/>
              <w:rPr>
                <w:rFonts w:hAnsi="宋体"/>
                <w:b/>
                <w:kern w:val="0"/>
                <w:sz w:val="24"/>
                <w:highlight w:val="none"/>
              </w:rPr>
            </w:pPr>
            <w:r>
              <w:rPr>
                <w:rFonts w:hint="eastAsia" w:hAnsi="宋体"/>
                <w:b/>
                <w:kern w:val="0"/>
                <w:sz w:val="24"/>
                <w:highlight w:val="none"/>
              </w:rPr>
              <w:t>环境标志产品</w:t>
            </w:r>
          </w:p>
        </w:tc>
        <w:tc>
          <w:tcPr>
            <w:tcW w:w="709" w:type="dxa"/>
            <w:noWrap w:val="0"/>
            <w:vAlign w:val="center"/>
          </w:tcPr>
          <w:p w14:paraId="4F60E034">
            <w:pPr>
              <w:widowControl/>
              <w:jc w:val="center"/>
              <w:rPr>
                <w:b/>
                <w:kern w:val="0"/>
                <w:sz w:val="24"/>
                <w:highlight w:val="none"/>
              </w:rPr>
            </w:pPr>
            <w:r>
              <w:rPr>
                <w:rFonts w:hint="eastAsia"/>
                <w:b/>
                <w:kern w:val="0"/>
                <w:sz w:val="24"/>
                <w:highlight w:val="none"/>
              </w:rPr>
              <w:t>2</w:t>
            </w:r>
          </w:p>
        </w:tc>
        <w:tc>
          <w:tcPr>
            <w:tcW w:w="6284" w:type="dxa"/>
            <w:noWrap w:val="0"/>
            <w:vAlign w:val="center"/>
          </w:tcPr>
          <w:p w14:paraId="3E0FDF8A">
            <w:pPr>
              <w:spacing w:line="460" w:lineRule="exact"/>
              <w:ind w:firstLine="480" w:firstLineChars="200"/>
              <w:rPr>
                <w:sz w:val="24"/>
                <w:highlight w:val="none"/>
              </w:rPr>
            </w:pPr>
            <w:r>
              <w:rPr>
                <w:rFonts w:hint="eastAsia"/>
                <w:sz w:val="24"/>
                <w:highlight w:val="none"/>
              </w:rPr>
              <w:t>投标产品属于财政部、生态环境部公布的“环境标志产品品目清单”范围内的，投标人提供国家确定的认证机构出具的、处于有效期内的该环保产品认证证书复印件的，得2分；未提供的不得分。</w:t>
            </w:r>
          </w:p>
        </w:tc>
      </w:tr>
      <w:tr w14:paraId="50512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73" w:type="dxa"/>
            <w:noWrap w:val="0"/>
            <w:vAlign w:val="center"/>
          </w:tcPr>
          <w:p w14:paraId="6227DC45">
            <w:pPr>
              <w:widowControl/>
              <w:jc w:val="center"/>
              <w:rPr>
                <w:b/>
                <w:bCs/>
                <w:sz w:val="24"/>
                <w:highlight w:val="none"/>
              </w:rPr>
            </w:pPr>
            <w:r>
              <w:rPr>
                <w:rFonts w:hint="eastAsia"/>
                <w:b/>
                <w:bCs/>
                <w:sz w:val="24"/>
                <w:highlight w:val="none"/>
              </w:rPr>
              <w:t>5.2</w:t>
            </w:r>
          </w:p>
        </w:tc>
        <w:tc>
          <w:tcPr>
            <w:tcW w:w="810" w:type="dxa"/>
            <w:vMerge w:val="continue"/>
            <w:noWrap w:val="0"/>
            <w:vAlign w:val="center"/>
          </w:tcPr>
          <w:p w14:paraId="62E96537">
            <w:pPr>
              <w:jc w:val="center"/>
              <w:rPr>
                <w:rFonts w:ascii="宋体" w:hAnsi="宋体"/>
                <w:b/>
                <w:sz w:val="24"/>
                <w:highlight w:val="none"/>
              </w:rPr>
            </w:pPr>
          </w:p>
        </w:tc>
        <w:tc>
          <w:tcPr>
            <w:tcW w:w="708" w:type="dxa"/>
            <w:noWrap w:val="0"/>
            <w:vAlign w:val="center"/>
          </w:tcPr>
          <w:p w14:paraId="10C39180">
            <w:pPr>
              <w:widowControl/>
              <w:jc w:val="center"/>
              <w:rPr>
                <w:rFonts w:hAnsi="宋体"/>
                <w:b/>
                <w:kern w:val="0"/>
                <w:sz w:val="24"/>
                <w:highlight w:val="none"/>
              </w:rPr>
            </w:pPr>
            <w:r>
              <w:rPr>
                <w:rFonts w:hint="eastAsia" w:hAnsi="宋体"/>
                <w:b/>
                <w:kern w:val="0"/>
                <w:sz w:val="24"/>
                <w:highlight w:val="none"/>
              </w:rPr>
              <w:t>节能产品</w:t>
            </w:r>
          </w:p>
        </w:tc>
        <w:tc>
          <w:tcPr>
            <w:tcW w:w="709" w:type="dxa"/>
            <w:noWrap w:val="0"/>
            <w:vAlign w:val="center"/>
          </w:tcPr>
          <w:p w14:paraId="2B4F5CFF">
            <w:pPr>
              <w:widowControl/>
              <w:jc w:val="center"/>
              <w:rPr>
                <w:b/>
                <w:kern w:val="0"/>
                <w:sz w:val="24"/>
                <w:highlight w:val="none"/>
              </w:rPr>
            </w:pPr>
            <w:r>
              <w:rPr>
                <w:rFonts w:hint="eastAsia"/>
                <w:b/>
                <w:kern w:val="0"/>
                <w:sz w:val="24"/>
                <w:highlight w:val="none"/>
              </w:rPr>
              <w:t>2</w:t>
            </w:r>
          </w:p>
        </w:tc>
        <w:tc>
          <w:tcPr>
            <w:tcW w:w="6284" w:type="dxa"/>
            <w:noWrap w:val="0"/>
            <w:vAlign w:val="center"/>
          </w:tcPr>
          <w:p w14:paraId="6E205161">
            <w:pPr>
              <w:spacing w:line="460" w:lineRule="exact"/>
              <w:ind w:firstLine="480" w:firstLineChars="200"/>
              <w:rPr>
                <w:sz w:val="24"/>
                <w:highlight w:val="none"/>
              </w:rPr>
            </w:pPr>
            <w:r>
              <w:rPr>
                <w:rFonts w:hint="eastAsia"/>
                <w:sz w:val="24"/>
                <w:highlight w:val="none"/>
              </w:rPr>
              <w:t>投标产品属于财政部、国家发改委公布的“节能产品品目清单”范围内的，投标人提供国家确定的认证机构出具的、处于有效期之内的该节能产品认证证书复印件的，得2分；未提供的不得分。</w:t>
            </w:r>
          </w:p>
        </w:tc>
      </w:tr>
    </w:tbl>
    <w:p w14:paraId="3C7C5942">
      <w:pPr>
        <w:spacing w:line="500" w:lineRule="exact"/>
        <w:ind w:firstLine="482" w:firstLineChars="200"/>
        <w:rPr>
          <w:rFonts w:hint="eastAsia"/>
          <w:b/>
          <w:bCs/>
          <w:sz w:val="24"/>
          <w:highlight w:val="none"/>
        </w:rPr>
      </w:pPr>
    </w:p>
    <w:p w14:paraId="63237C52">
      <w:pPr>
        <w:spacing w:line="500" w:lineRule="exact"/>
        <w:ind w:firstLine="482" w:firstLineChars="200"/>
        <w:rPr>
          <w:b/>
          <w:bCs/>
          <w:sz w:val="24"/>
          <w:highlight w:val="none"/>
        </w:rPr>
      </w:pPr>
      <w:r>
        <w:rPr>
          <w:rFonts w:hint="eastAsia"/>
          <w:b/>
          <w:bCs/>
          <w:sz w:val="24"/>
          <w:highlight w:val="none"/>
        </w:rPr>
        <w:t>备注：1、</w:t>
      </w:r>
      <w:r>
        <w:rPr>
          <w:rFonts w:hint="eastAsia"/>
          <w:b/>
          <w:sz w:val="24"/>
          <w:szCs w:val="24"/>
          <w:highlight w:val="none"/>
        </w:rPr>
        <w:t>以上评分涉及到的证明文件须清晰可见相关内容，否则视为未提交。</w:t>
      </w:r>
    </w:p>
    <w:p w14:paraId="364EBB8B">
      <w:pPr>
        <w:spacing w:line="500" w:lineRule="exact"/>
        <w:ind w:firstLine="1246" w:firstLineChars="517"/>
        <w:rPr>
          <w:b/>
          <w:bCs/>
          <w:sz w:val="24"/>
          <w:highlight w:val="none"/>
        </w:rPr>
      </w:pPr>
      <w:r>
        <w:rPr>
          <w:rFonts w:hint="eastAsia"/>
          <w:b/>
          <w:bCs/>
          <w:sz w:val="24"/>
          <w:highlight w:val="none"/>
        </w:rPr>
        <w:t>2、非中文版证明资料需同时提供中文翻译文件；</w:t>
      </w:r>
    </w:p>
    <w:p w14:paraId="2ACF779C">
      <w:pPr>
        <w:spacing w:line="500" w:lineRule="exact"/>
        <w:ind w:firstLine="1246" w:firstLineChars="517"/>
        <w:rPr>
          <w:rFonts w:hAnsi="宋体"/>
          <w:b/>
          <w:sz w:val="24"/>
          <w:szCs w:val="24"/>
          <w:highlight w:val="none"/>
        </w:rPr>
      </w:pPr>
      <w:r>
        <w:rPr>
          <w:rFonts w:hint="eastAsia"/>
          <w:b/>
          <w:bCs/>
          <w:sz w:val="24"/>
          <w:highlight w:val="none"/>
        </w:rPr>
        <w:t>3、以上评分中出现无证明资料或磋商小组无法凭所提供资料判断是否得分的情况，一律作不得分处理。</w:t>
      </w:r>
    </w:p>
    <w:p w14:paraId="0F9E5E88">
      <w:pPr>
        <w:spacing w:line="500" w:lineRule="exact"/>
        <w:ind w:firstLine="482" w:firstLineChars="200"/>
        <w:rPr>
          <w:rFonts w:ascii="Times New Roman" w:hAnsi="Times New Roman"/>
          <w:b/>
          <w:bCs/>
          <w:sz w:val="24"/>
          <w:highlight w:val="none"/>
        </w:rPr>
      </w:pPr>
      <w:r>
        <w:rPr>
          <w:rFonts w:ascii="Times New Roman" w:hAnsi="Times New Roman"/>
          <w:b/>
          <w:sz w:val="24"/>
          <w:szCs w:val="24"/>
          <w:highlight w:val="none"/>
        </w:rPr>
        <w:t>三</w:t>
      </w:r>
      <w:r>
        <w:rPr>
          <w:rFonts w:hint="eastAsia" w:ascii="Times New Roman" w:hAnsi="Times New Roman"/>
          <w:b/>
          <w:sz w:val="24"/>
          <w:szCs w:val="24"/>
          <w:highlight w:val="none"/>
        </w:rPr>
        <w:t xml:space="preserve">. </w:t>
      </w:r>
      <w:r>
        <w:rPr>
          <w:rFonts w:ascii="Times New Roman" w:hAnsi="Times New Roman"/>
          <w:b/>
          <w:bCs/>
          <w:sz w:val="24"/>
          <w:highlight w:val="none"/>
        </w:rPr>
        <w:t>政府采购政策功能落实价格扣除评审办法</w:t>
      </w:r>
    </w:p>
    <w:p w14:paraId="5A8B03A3">
      <w:pPr>
        <w:pStyle w:val="20"/>
        <w:spacing w:line="480" w:lineRule="exact"/>
        <w:ind w:firstLine="540" w:firstLineChars="225"/>
        <w:rPr>
          <w:rFonts w:hint="eastAsia" w:ascii="Times New Roman" w:hAnsi="Times New Roman" w:cs="Times New Roman"/>
          <w:bCs/>
          <w:sz w:val="24"/>
          <w:szCs w:val="20"/>
          <w:highlight w:val="none"/>
        </w:rPr>
      </w:pPr>
      <w:r>
        <w:rPr>
          <w:rFonts w:hint="eastAsia" w:ascii="Times New Roman" w:hAnsi="Times New Roman" w:cs="Times New Roman"/>
          <w:bCs/>
          <w:sz w:val="24"/>
          <w:szCs w:val="20"/>
          <w:highlight w:val="none"/>
        </w:rPr>
        <w:t>1、小微型企业价格扣除</w:t>
      </w:r>
    </w:p>
    <w:p w14:paraId="27CE9C51">
      <w:pPr>
        <w:spacing w:line="460" w:lineRule="exact"/>
        <w:ind w:firstLine="480" w:firstLineChars="200"/>
        <w:rPr>
          <w:rFonts w:hint="eastAsia"/>
          <w:bCs/>
          <w:sz w:val="24"/>
          <w:highlight w:val="none"/>
        </w:rPr>
      </w:pPr>
      <w:r>
        <w:rPr>
          <w:bCs/>
          <w:sz w:val="24"/>
          <w:highlight w:val="none"/>
        </w:rPr>
        <w:t>（1）</w:t>
      </w:r>
      <w:r>
        <w:rPr>
          <w:rFonts w:hint="eastAsia"/>
          <w:bCs/>
          <w:sz w:val="24"/>
          <w:highlight w:val="none"/>
        </w:rPr>
        <w:t>本项目专门面向中小微企业采购，不再执行价格扣除评审方法。</w:t>
      </w:r>
    </w:p>
    <w:p w14:paraId="46ECAF87">
      <w:pPr>
        <w:spacing w:line="460" w:lineRule="exact"/>
        <w:ind w:firstLine="480" w:firstLineChars="200"/>
        <w:rPr>
          <w:bCs/>
          <w:sz w:val="24"/>
          <w:highlight w:val="none"/>
        </w:rPr>
      </w:pPr>
      <w:r>
        <w:rPr>
          <w:bCs/>
          <w:sz w:val="24"/>
          <w:highlight w:val="none"/>
        </w:rPr>
        <w:t>（2）供应商需按照</w:t>
      </w:r>
      <w:r>
        <w:rPr>
          <w:rFonts w:hint="eastAsia"/>
          <w:bCs/>
          <w:sz w:val="24"/>
          <w:highlight w:val="none"/>
        </w:rPr>
        <w:t>招标</w:t>
      </w:r>
      <w:r>
        <w:rPr>
          <w:bCs/>
          <w:sz w:val="24"/>
          <w:highlight w:val="none"/>
        </w:rPr>
        <w:t>文件的要求提供相应的《中小企业声明函》。</w:t>
      </w:r>
    </w:p>
    <w:p w14:paraId="7A6CEEBA">
      <w:pPr>
        <w:spacing w:line="460" w:lineRule="exact"/>
        <w:ind w:firstLine="480" w:firstLineChars="200"/>
        <w:rPr>
          <w:bCs/>
          <w:sz w:val="24"/>
          <w:highlight w:val="none"/>
        </w:rPr>
      </w:pPr>
      <w:r>
        <w:rPr>
          <w:bCs/>
          <w:sz w:val="24"/>
          <w:highlight w:val="none"/>
        </w:rPr>
        <w:t>（3）企业标准请参照《关于印发中小企业划型标准规定的通知》（工信部联企业[2011]300号）文件规定自行填写。</w:t>
      </w:r>
    </w:p>
    <w:p w14:paraId="2AC09305">
      <w:pPr>
        <w:spacing w:line="460" w:lineRule="exact"/>
        <w:ind w:firstLine="480" w:firstLineChars="200"/>
        <w:rPr>
          <w:rFonts w:hint="eastAsia"/>
          <w:bCs/>
          <w:sz w:val="24"/>
          <w:highlight w:val="none"/>
        </w:rPr>
      </w:pPr>
      <w:r>
        <w:rPr>
          <w:rFonts w:hint="eastAsia"/>
          <w:bCs/>
          <w:sz w:val="24"/>
          <w:highlight w:val="none"/>
        </w:rPr>
        <w:t>2、残疾人福利单位价格扣除</w:t>
      </w:r>
    </w:p>
    <w:p w14:paraId="6F565785">
      <w:pPr>
        <w:spacing w:line="460" w:lineRule="exact"/>
        <w:ind w:firstLine="480" w:firstLineChars="200"/>
        <w:rPr>
          <w:rFonts w:hint="eastAsia"/>
          <w:bCs/>
          <w:sz w:val="24"/>
          <w:highlight w:val="none"/>
        </w:rPr>
      </w:pPr>
      <w:r>
        <w:rPr>
          <w:bCs/>
          <w:sz w:val="24"/>
          <w:highlight w:val="none"/>
        </w:rPr>
        <w:t>（1）</w:t>
      </w:r>
      <w:r>
        <w:rPr>
          <w:rFonts w:hint="eastAsia"/>
          <w:bCs/>
          <w:sz w:val="24"/>
          <w:highlight w:val="none"/>
        </w:rPr>
        <w:t>本项目对残疾人福利性单位视同小型、微型企业，不再执行价格扣除评审方法。</w:t>
      </w:r>
    </w:p>
    <w:p w14:paraId="52DAFA47">
      <w:pPr>
        <w:spacing w:line="460" w:lineRule="exact"/>
        <w:ind w:firstLine="480" w:firstLineChars="200"/>
        <w:rPr>
          <w:bCs/>
          <w:sz w:val="24"/>
          <w:highlight w:val="none"/>
        </w:rPr>
      </w:pPr>
      <w:r>
        <w:rPr>
          <w:bCs/>
          <w:sz w:val="24"/>
          <w:highlight w:val="none"/>
        </w:rPr>
        <w:t>（2）残疾人福利单位需按照</w:t>
      </w:r>
      <w:r>
        <w:rPr>
          <w:rFonts w:hint="eastAsia"/>
          <w:bCs/>
          <w:sz w:val="24"/>
          <w:highlight w:val="none"/>
        </w:rPr>
        <w:t>招标</w:t>
      </w:r>
      <w:r>
        <w:rPr>
          <w:bCs/>
          <w:sz w:val="24"/>
          <w:highlight w:val="none"/>
        </w:rPr>
        <w:t>文件的要求提供《残疾人福利性单位声明函》。</w:t>
      </w:r>
    </w:p>
    <w:p w14:paraId="24D1D301">
      <w:pPr>
        <w:spacing w:line="460" w:lineRule="exact"/>
        <w:ind w:firstLine="480" w:firstLineChars="200"/>
        <w:rPr>
          <w:bCs/>
          <w:sz w:val="24"/>
          <w:highlight w:val="none"/>
        </w:rPr>
      </w:pPr>
      <w:r>
        <w:rPr>
          <w:bCs/>
          <w:sz w:val="24"/>
          <w:highlight w:val="none"/>
        </w:rPr>
        <w:t>（3）残疾人福利单位标准请参照《关于促进残疾人就业政府采购政策的通知》（财库〔2017〕141号）。</w:t>
      </w:r>
    </w:p>
    <w:p w14:paraId="7060BD3B">
      <w:pPr>
        <w:spacing w:line="460" w:lineRule="exact"/>
        <w:ind w:firstLine="480" w:firstLineChars="200"/>
        <w:rPr>
          <w:rFonts w:hint="eastAsia"/>
          <w:bCs/>
          <w:sz w:val="24"/>
          <w:highlight w:val="none"/>
        </w:rPr>
      </w:pPr>
      <w:r>
        <w:rPr>
          <w:rFonts w:hint="eastAsia"/>
          <w:bCs/>
          <w:sz w:val="24"/>
          <w:highlight w:val="none"/>
        </w:rPr>
        <w:t>3、监狱和戒毒企业价格扣除</w:t>
      </w:r>
    </w:p>
    <w:p w14:paraId="186D9C35">
      <w:pPr>
        <w:spacing w:line="460" w:lineRule="exact"/>
        <w:ind w:firstLine="480" w:firstLineChars="200"/>
        <w:rPr>
          <w:rFonts w:hint="eastAsia"/>
          <w:bCs/>
          <w:sz w:val="24"/>
          <w:highlight w:val="none"/>
        </w:rPr>
      </w:pPr>
      <w:r>
        <w:rPr>
          <w:bCs/>
          <w:sz w:val="24"/>
          <w:highlight w:val="none"/>
        </w:rPr>
        <w:t>（1）</w:t>
      </w:r>
      <w:r>
        <w:rPr>
          <w:rFonts w:hint="eastAsia"/>
          <w:bCs/>
          <w:sz w:val="24"/>
          <w:highlight w:val="none"/>
        </w:rPr>
        <w:t>本项目对监狱和戒毒企业（简称监狱企业）视同小型、微型企业，不再执行价格扣除评审方法。</w:t>
      </w:r>
    </w:p>
    <w:p w14:paraId="4D1FFE4E">
      <w:pPr>
        <w:spacing w:line="460" w:lineRule="exact"/>
        <w:ind w:firstLine="480" w:firstLineChars="200"/>
        <w:rPr>
          <w:bCs/>
          <w:sz w:val="24"/>
          <w:highlight w:val="none"/>
        </w:rPr>
      </w:pPr>
      <w:r>
        <w:rPr>
          <w:bCs/>
          <w:sz w:val="24"/>
          <w:highlight w:val="none"/>
        </w:rPr>
        <w:t>（2）监狱企业参加政府采购活动时，需提供由省级以上监狱管理局、戒毒管理局(含新疆生产建设兵团)出具的属于监狱企业的证明文件。</w:t>
      </w:r>
    </w:p>
    <w:p w14:paraId="443DE6FD">
      <w:pPr>
        <w:spacing w:line="460" w:lineRule="exact"/>
        <w:ind w:firstLine="480" w:firstLineChars="200"/>
        <w:rPr>
          <w:bCs/>
          <w:sz w:val="24"/>
          <w:highlight w:val="none"/>
        </w:rPr>
      </w:pPr>
      <w:r>
        <w:rPr>
          <w:bCs/>
          <w:sz w:val="24"/>
          <w:highlight w:val="none"/>
        </w:rPr>
        <w:t>（3）监狱企业标准请参照《关于政府采购支持监狱企业发展有关问题的通知》（财库[2014]68号）。</w:t>
      </w:r>
    </w:p>
    <w:p w14:paraId="08944DA4">
      <w:pPr>
        <w:pStyle w:val="20"/>
        <w:spacing w:line="520" w:lineRule="exact"/>
        <w:ind w:firstLine="542" w:firstLineChars="225"/>
        <w:rPr>
          <w:rFonts w:ascii="Times New Roman" w:hAnsi="Times New Roman" w:cs="Times New Roman"/>
          <w:b/>
          <w:sz w:val="24"/>
          <w:szCs w:val="24"/>
          <w:highlight w:val="none"/>
        </w:rPr>
      </w:pPr>
      <w:r>
        <w:rPr>
          <w:rFonts w:ascii="Times New Roman" w:hAnsi="Times New Roman" w:cs="Times New Roman"/>
          <w:b/>
          <w:sz w:val="24"/>
          <w:szCs w:val="24"/>
          <w:highlight w:val="none"/>
        </w:rPr>
        <w:t>四</w:t>
      </w:r>
      <w:r>
        <w:rPr>
          <w:rFonts w:hint="eastAsia" w:ascii="Times New Roman" w:hAnsi="Times New Roman" w:cs="Times New Roman"/>
          <w:b/>
          <w:sz w:val="24"/>
          <w:szCs w:val="24"/>
          <w:highlight w:val="none"/>
        </w:rPr>
        <w:t xml:space="preserve">. </w:t>
      </w:r>
      <w:r>
        <w:rPr>
          <w:rFonts w:ascii="Times New Roman" w:hAnsi="Times New Roman" w:cs="Times New Roman"/>
          <w:b/>
          <w:sz w:val="24"/>
          <w:szCs w:val="24"/>
          <w:highlight w:val="none"/>
        </w:rPr>
        <w:t>其他</w:t>
      </w:r>
    </w:p>
    <w:p w14:paraId="7779FC72">
      <w:pPr>
        <w:spacing w:line="520" w:lineRule="exact"/>
        <w:ind w:firstLine="540" w:firstLineChars="225"/>
        <w:rPr>
          <w:rFonts w:ascii="Times New Roman" w:hAnsi="Times New Roman"/>
          <w:sz w:val="24"/>
          <w:szCs w:val="24"/>
          <w:highlight w:val="none"/>
        </w:rPr>
      </w:pPr>
      <w:r>
        <w:rPr>
          <w:rFonts w:ascii="Times New Roman" w:hAnsi="Times New Roman"/>
          <w:sz w:val="24"/>
          <w:szCs w:val="24"/>
          <w:highlight w:val="none"/>
        </w:rPr>
        <w:t>1</w:t>
      </w:r>
      <w:r>
        <w:rPr>
          <w:rFonts w:hint="eastAsia" w:ascii="Times New Roman" w:hAnsi="Times New Roman"/>
          <w:sz w:val="24"/>
          <w:szCs w:val="24"/>
          <w:highlight w:val="none"/>
        </w:rPr>
        <w:t xml:space="preserve">. </w:t>
      </w:r>
      <w:r>
        <w:rPr>
          <w:rFonts w:ascii="Times New Roman" w:hAnsi="Times New Roman"/>
          <w:sz w:val="24"/>
          <w:szCs w:val="24"/>
          <w:highlight w:val="none"/>
        </w:rPr>
        <w:t>评委会成员根据评分情况及时将结果填入“评分表”中。</w:t>
      </w:r>
    </w:p>
    <w:p w14:paraId="782C0319">
      <w:pPr>
        <w:spacing w:line="520" w:lineRule="exact"/>
        <w:ind w:firstLine="540" w:firstLineChars="225"/>
        <w:rPr>
          <w:rFonts w:ascii="Times New Roman" w:hAnsi="Times New Roman"/>
          <w:sz w:val="24"/>
          <w:szCs w:val="24"/>
          <w:highlight w:val="none"/>
        </w:rPr>
      </w:pPr>
      <w:r>
        <w:rPr>
          <w:rFonts w:ascii="Times New Roman" w:hAnsi="Times New Roman"/>
          <w:sz w:val="24"/>
          <w:szCs w:val="24"/>
          <w:highlight w:val="none"/>
        </w:rPr>
        <w:t>2</w:t>
      </w:r>
      <w:r>
        <w:rPr>
          <w:rFonts w:hint="eastAsia" w:ascii="Times New Roman" w:hAnsi="Times New Roman"/>
          <w:sz w:val="24"/>
          <w:szCs w:val="24"/>
          <w:highlight w:val="none"/>
        </w:rPr>
        <w:t xml:space="preserve">. </w:t>
      </w:r>
      <w:r>
        <w:rPr>
          <w:rFonts w:ascii="Times New Roman" w:hAnsi="Times New Roman"/>
          <w:sz w:val="24"/>
          <w:szCs w:val="24"/>
          <w:highlight w:val="none"/>
        </w:rPr>
        <w:t>评委会成员将投标文件评价得分加总后，得出本次评标的最终得分。</w:t>
      </w:r>
    </w:p>
    <w:p w14:paraId="0745608E">
      <w:pPr>
        <w:spacing w:line="520" w:lineRule="exact"/>
        <w:ind w:firstLine="540" w:firstLineChars="225"/>
        <w:rPr>
          <w:rFonts w:ascii="Times New Roman" w:hAnsi="Times New Roman"/>
          <w:sz w:val="24"/>
          <w:szCs w:val="24"/>
          <w:highlight w:val="none"/>
        </w:rPr>
      </w:pPr>
      <w:r>
        <w:rPr>
          <w:rFonts w:ascii="Times New Roman" w:hAnsi="Times New Roman"/>
          <w:sz w:val="24"/>
          <w:szCs w:val="24"/>
          <w:highlight w:val="none"/>
        </w:rPr>
        <w:t>3</w:t>
      </w:r>
      <w:r>
        <w:rPr>
          <w:rFonts w:hint="eastAsia" w:ascii="Times New Roman" w:hAnsi="Times New Roman"/>
          <w:sz w:val="24"/>
          <w:szCs w:val="24"/>
          <w:highlight w:val="none"/>
        </w:rPr>
        <w:t xml:space="preserve">. </w:t>
      </w:r>
      <w:r>
        <w:rPr>
          <w:rFonts w:ascii="Times New Roman" w:hAnsi="Times New Roman"/>
          <w:sz w:val="24"/>
          <w:szCs w:val="24"/>
          <w:highlight w:val="none"/>
        </w:rPr>
        <w:t>项目评分时，分值</w:t>
      </w:r>
      <w:r>
        <w:rPr>
          <w:rFonts w:ascii="Times New Roman" w:hAnsi="Times New Roman"/>
          <w:b/>
          <w:sz w:val="24"/>
          <w:szCs w:val="24"/>
          <w:highlight w:val="none"/>
        </w:rPr>
        <w:t>精确到小数点后两位</w:t>
      </w:r>
      <w:r>
        <w:rPr>
          <w:rFonts w:ascii="Times New Roman" w:hAnsi="Times New Roman"/>
          <w:sz w:val="24"/>
          <w:szCs w:val="24"/>
          <w:highlight w:val="none"/>
        </w:rPr>
        <w:t>。</w:t>
      </w:r>
    </w:p>
    <w:p w14:paraId="7636895D">
      <w:pPr>
        <w:spacing w:line="520" w:lineRule="exact"/>
        <w:ind w:firstLine="540" w:firstLineChars="225"/>
        <w:rPr>
          <w:rFonts w:ascii="Times New Roman" w:hAnsi="Times New Roman"/>
          <w:sz w:val="24"/>
          <w:szCs w:val="24"/>
          <w:highlight w:val="none"/>
        </w:rPr>
      </w:pPr>
      <w:r>
        <w:rPr>
          <w:rFonts w:ascii="Times New Roman" w:hAnsi="Times New Roman"/>
          <w:sz w:val="24"/>
          <w:szCs w:val="24"/>
          <w:highlight w:val="none"/>
        </w:rPr>
        <w:t>4</w:t>
      </w:r>
      <w:r>
        <w:rPr>
          <w:rFonts w:hint="eastAsia" w:ascii="Times New Roman" w:hAnsi="Times New Roman"/>
          <w:sz w:val="24"/>
          <w:szCs w:val="24"/>
          <w:highlight w:val="none"/>
        </w:rPr>
        <w:t xml:space="preserve">. </w:t>
      </w:r>
      <w:r>
        <w:rPr>
          <w:rFonts w:ascii="Times New Roman" w:hAnsi="Times New Roman"/>
          <w:sz w:val="24"/>
          <w:szCs w:val="24"/>
          <w:highlight w:val="none"/>
        </w:rPr>
        <w:t>供应商的最后得分为评委会成员所评</w:t>
      </w:r>
      <w:r>
        <w:rPr>
          <w:rFonts w:ascii="Times New Roman" w:hAnsi="Times New Roman"/>
          <w:b/>
          <w:sz w:val="24"/>
          <w:szCs w:val="24"/>
          <w:highlight w:val="none"/>
        </w:rPr>
        <w:t>分数的总分值</w:t>
      </w:r>
      <w:r>
        <w:rPr>
          <w:rFonts w:ascii="Times New Roman" w:hAnsi="Times New Roman"/>
          <w:sz w:val="24"/>
          <w:szCs w:val="24"/>
          <w:highlight w:val="none"/>
        </w:rPr>
        <w:t>。</w:t>
      </w:r>
    </w:p>
    <w:p w14:paraId="1A083E54">
      <w:pPr>
        <w:spacing w:line="520" w:lineRule="exact"/>
        <w:ind w:firstLine="540" w:firstLineChars="225"/>
        <w:rPr>
          <w:rFonts w:ascii="Times New Roman" w:hAnsi="Times New Roman"/>
          <w:sz w:val="24"/>
          <w:szCs w:val="24"/>
          <w:highlight w:val="none"/>
        </w:rPr>
      </w:pPr>
      <w:r>
        <w:rPr>
          <w:rFonts w:ascii="Times New Roman" w:hAnsi="Times New Roman"/>
          <w:sz w:val="24"/>
          <w:szCs w:val="24"/>
          <w:highlight w:val="none"/>
        </w:rPr>
        <w:t>5</w:t>
      </w:r>
      <w:r>
        <w:rPr>
          <w:rFonts w:hint="eastAsia" w:ascii="Times New Roman" w:hAnsi="Times New Roman"/>
          <w:sz w:val="24"/>
          <w:szCs w:val="24"/>
          <w:highlight w:val="none"/>
        </w:rPr>
        <w:t xml:space="preserve">. </w:t>
      </w:r>
      <w:r>
        <w:rPr>
          <w:rFonts w:ascii="Times New Roman" w:hAnsi="Times New Roman"/>
          <w:sz w:val="24"/>
          <w:szCs w:val="24"/>
          <w:highlight w:val="none"/>
        </w:rPr>
        <w:t>经评委会成员审查，得分按由高到低排列，确定</w:t>
      </w:r>
      <w:r>
        <w:rPr>
          <w:rFonts w:hint="eastAsia" w:ascii="Times New Roman" w:hAnsi="Times New Roman"/>
          <w:sz w:val="24"/>
          <w:szCs w:val="24"/>
          <w:highlight w:val="none"/>
        </w:rPr>
        <w:t>1</w:t>
      </w:r>
      <w:r>
        <w:rPr>
          <w:rFonts w:ascii="Times New Roman" w:hAnsi="Times New Roman"/>
          <w:sz w:val="24"/>
          <w:szCs w:val="24"/>
          <w:highlight w:val="none"/>
        </w:rPr>
        <w:t>个中标</w:t>
      </w:r>
      <w:r>
        <w:rPr>
          <w:rFonts w:hint="eastAsia" w:ascii="Times New Roman" w:hAnsi="Times New Roman"/>
          <w:sz w:val="24"/>
          <w:szCs w:val="24"/>
          <w:highlight w:val="none"/>
        </w:rPr>
        <w:t>供应商</w:t>
      </w:r>
      <w:r>
        <w:rPr>
          <w:rFonts w:ascii="Times New Roman" w:hAnsi="Times New Roman"/>
          <w:sz w:val="24"/>
          <w:szCs w:val="24"/>
          <w:highlight w:val="none"/>
        </w:rPr>
        <w:t>。</w:t>
      </w:r>
    </w:p>
    <w:p w14:paraId="1B74ED2A">
      <w:pPr>
        <w:spacing w:line="520" w:lineRule="exact"/>
        <w:ind w:firstLine="540" w:firstLineChars="225"/>
        <w:rPr>
          <w:rFonts w:ascii="Times New Roman" w:hAnsi="Times New Roman"/>
          <w:sz w:val="24"/>
          <w:szCs w:val="24"/>
          <w:highlight w:val="none"/>
        </w:rPr>
      </w:pPr>
      <w:r>
        <w:rPr>
          <w:rFonts w:ascii="Times New Roman" w:hAnsi="Times New Roman"/>
          <w:sz w:val="24"/>
          <w:szCs w:val="24"/>
          <w:highlight w:val="none"/>
        </w:rPr>
        <w:t>6</w:t>
      </w:r>
      <w:r>
        <w:rPr>
          <w:rFonts w:hint="eastAsia" w:ascii="Times New Roman" w:hAnsi="Times New Roman"/>
          <w:sz w:val="24"/>
          <w:szCs w:val="24"/>
          <w:highlight w:val="none"/>
        </w:rPr>
        <w:t xml:space="preserve">. </w:t>
      </w:r>
      <w:r>
        <w:rPr>
          <w:rFonts w:ascii="Times New Roman" w:hAnsi="Times New Roman"/>
          <w:sz w:val="24"/>
          <w:szCs w:val="24"/>
          <w:highlight w:val="none"/>
        </w:rPr>
        <w:t>评委会成员没有向供应商解释评标过程的义务。</w:t>
      </w:r>
    </w:p>
    <w:p w14:paraId="0B5CA65C">
      <w:pPr>
        <w:spacing w:line="520" w:lineRule="exact"/>
        <w:ind w:firstLine="540" w:firstLineChars="225"/>
        <w:rPr>
          <w:rFonts w:ascii="Times New Roman" w:hAnsi="Times New Roman"/>
          <w:sz w:val="24"/>
          <w:szCs w:val="24"/>
          <w:highlight w:val="none"/>
        </w:rPr>
      </w:pPr>
      <w:r>
        <w:rPr>
          <w:rFonts w:ascii="Times New Roman" w:hAnsi="Times New Roman"/>
          <w:sz w:val="24"/>
          <w:szCs w:val="24"/>
          <w:highlight w:val="none"/>
        </w:rPr>
        <w:t>7</w:t>
      </w:r>
      <w:r>
        <w:rPr>
          <w:rFonts w:hint="eastAsia" w:ascii="Times New Roman" w:hAnsi="Times New Roman"/>
          <w:sz w:val="24"/>
          <w:szCs w:val="24"/>
          <w:highlight w:val="none"/>
        </w:rPr>
        <w:t xml:space="preserve">. </w:t>
      </w:r>
      <w:r>
        <w:rPr>
          <w:rFonts w:ascii="Times New Roman" w:hAnsi="Times New Roman"/>
          <w:sz w:val="24"/>
          <w:szCs w:val="24"/>
          <w:highlight w:val="none"/>
        </w:rPr>
        <w:t>本规则的解释权在江苏省体育装备中心。</w:t>
      </w:r>
    </w:p>
    <w:p w14:paraId="5DBF3DB0">
      <w:pPr>
        <w:spacing w:line="520" w:lineRule="exact"/>
        <w:ind w:firstLine="540" w:firstLineChars="225"/>
        <w:rPr>
          <w:rFonts w:ascii="Times New Roman" w:hAnsi="Times New Roman"/>
          <w:sz w:val="24"/>
          <w:szCs w:val="24"/>
          <w:highlight w:val="none"/>
        </w:rPr>
      </w:pPr>
      <w:r>
        <w:rPr>
          <w:rFonts w:ascii="Times New Roman" w:hAnsi="Times New Roman"/>
          <w:sz w:val="24"/>
          <w:szCs w:val="24"/>
          <w:highlight w:val="none"/>
        </w:rPr>
        <w:t>8</w:t>
      </w:r>
      <w:r>
        <w:rPr>
          <w:rFonts w:hint="eastAsia" w:ascii="Times New Roman" w:hAnsi="Times New Roman"/>
          <w:sz w:val="24"/>
          <w:szCs w:val="24"/>
          <w:highlight w:val="none"/>
        </w:rPr>
        <w:t xml:space="preserve">. </w:t>
      </w:r>
      <w:r>
        <w:rPr>
          <w:rFonts w:ascii="Times New Roman" w:hAnsi="Times New Roman"/>
          <w:sz w:val="24"/>
          <w:szCs w:val="24"/>
          <w:highlight w:val="none"/>
        </w:rPr>
        <w:t>遇到本规则未能考虑到的问题，由评委会成员会同采购人协商决定。</w:t>
      </w:r>
    </w:p>
    <w:p w14:paraId="396BA4A1">
      <w:pPr>
        <w:pStyle w:val="20"/>
        <w:spacing w:line="600" w:lineRule="exact"/>
        <w:ind w:firstLine="540" w:firstLineChars="225"/>
        <w:rPr>
          <w:rFonts w:ascii="Times New Roman" w:hAnsi="Times New Roman" w:cs="Times New Roman"/>
          <w:sz w:val="24"/>
          <w:szCs w:val="24"/>
          <w:highlight w:val="none"/>
        </w:rPr>
      </w:pPr>
    </w:p>
    <w:p w14:paraId="34188118">
      <w:pPr>
        <w:pStyle w:val="2"/>
        <w:rPr>
          <w:rFonts w:ascii="Times New Roman" w:eastAsia="黑体"/>
          <w:bCs/>
          <w:sz w:val="44"/>
          <w:highlight w:val="none"/>
        </w:rPr>
      </w:pPr>
      <w:r>
        <w:rPr>
          <w:rFonts w:ascii="Times New Roman" w:eastAsia="黑体"/>
          <w:bCs/>
          <w:sz w:val="44"/>
          <w:highlight w:val="none"/>
        </w:rPr>
        <w:br w:type="page"/>
      </w:r>
      <w:bookmarkStart w:id="197" w:name="_Toc145408601"/>
      <w:bookmarkStart w:id="198" w:name="_Toc481071971"/>
      <w:bookmarkStart w:id="199" w:name="_Toc481072017"/>
      <w:bookmarkStart w:id="200" w:name="_Toc511899517"/>
      <w:bookmarkStart w:id="201" w:name="_Toc475009301"/>
      <w:r>
        <w:rPr>
          <w:rFonts w:ascii="Times New Roman" w:eastAsia="黑体"/>
          <w:bCs/>
          <w:sz w:val="44"/>
          <w:highlight w:val="none"/>
        </w:rPr>
        <w:t>第六章  投标文件格式</w:t>
      </w:r>
      <w:bookmarkEnd w:id="197"/>
      <w:bookmarkEnd w:id="198"/>
      <w:bookmarkEnd w:id="199"/>
      <w:bookmarkEnd w:id="200"/>
      <w:bookmarkEnd w:id="201"/>
    </w:p>
    <w:p w14:paraId="011FF3DC">
      <w:pPr>
        <w:spacing w:line="440" w:lineRule="exact"/>
        <w:rPr>
          <w:rFonts w:ascii="Times New Roman" w:hAnsi="Times New Roman"/>
          <w:highlight w:val="none"/>
        </w:rPr>
      </w:pPr>
    </w:p>
    <w:bookmarkEnd w:id="178"/>
    <w:bookmarkEnd w:id="179"/>
    <w:bookmarkEnd w:id="190"/>
    <w:bookmarkEnd w:id="191"/>
    <w:bookmarkEnd w:id="192"/>
    <w:bookmarkEnd w:id="193"/>
    <w:bookmarkEnd w:id="194"/>
    <w:bookmarkEnd w:id="195"/>
    <w:bookmarkEnd w:id="196"/>
    <w:p w14:paraId="1D436C50">
      <w:pPr>
        <w:spacing w:line="520" w:lineRule="exact"/>
        <w:ind w:firstLine="480" w:firstLineChars="200"/>
        <w:rPr>
          <w:rFonts w:ascii="Times New Roman" w:hAnsi="Times New Roman"/>
          <w:sz w:val="24"/>
          <w:szCs w:val="24"/>
          <w:highlight w:val="none"/>
        </w:rPr>
      </w:pPr>
      <w:r>
        <w:rPr>
          <w:rFonts w:ascii="Times New Roman" w:hAnsi="Times New Roman"/>
          <w:sz w:val="24"/>
          <w:szCs w:val="24"/>
          <w:highlight w:val="none"/>
        </w:rPr>
        <w:t>说明：</w:t>
      </w:r>
    </w:p>
    <w:p w14:paraId="674AB60A">
      <w:pPr>
        <w:spacing w:line="520" w:lineRule="exact"/>
        <w:ind w:firstLine="480" w:firstLineChars="200"/>
        <w:rPr>
          <w:rFonts w:ascii="Times New Roman" w:hAnsi="Times New Roman"/>
          <w:sz w:val="24"/>
          <w:szCs w:val="24"/>
          <w:highlight w:val="none"/>
        </w:rPr>
      </w:pPr>
      <w:r>
        <w:rPr>
          <w:rFonts w:ascii="Times New Roman" w:hAnsi="Times New Roman"/>
          <w:sz w:val="24"/>
          <w:szCs w:val="24"/>
          <w:highlight w:val="none"/>
        </w:rPr>
        <w:t>凡招标文件中已提供投标文件格式的内容，供应商应按招标文件提供的格式填写，不准有空项；无相应内容可填的项应填写“无”、“未测试”或“没有相应指标”等明确的回答文字。其余未提供格式的内容由供应商自行设计编写，但不得造成与本招标文件内容有实质性的违背。</w:t>
      </w:r>
    </w:p>
    <w:p w14:paraId="6CC3797A">
      <w:pPr>
        <w:jc w:val="center"/>
        <w:rPr>
          <w:rFonts w:ascii="Times New Roman" w:hAnsi="Times New Roman" w:eastAsia="黑体"/>
          <w:b/>
          <w:bCs/>
          <w:sz w:val="36"/>
          <w:highlight w:val="none"/>
        </w:rPr>
      </w:pPr>
    </w:p>
    <w:p w14:paraId="6A81794C">
      <w:pPr>
        <w:jc w:val="center"/>
        <w:rPr>
          <w:rFonts w:ascii="Times New Roman" w:hAnsi="Times New Roman" w:eastAsia="黑体"/>
          <w:b/>
          <w:sz w:val="72"/>
          <w:highlight w:val="none"/>
        </w:rPr>
      </w:pPr>
      <w:r>
        <w:rPr>
          <w:rFonts w:ascii="Times New Roman" w:hAnsi="Times New Roman" w:eastAsia="黑体"/>
          <w:b/>
          <w:bCs/>
          <w:sz w:val="36"/>
          <w:highlight w:val="none"/>
        </w:rPr>
        <w:br w:type="page"/>
      </w:r>
      <w:r>
        <w:rPr>
          <w:rFonts w:ascii="Times New Roman" w:hAnsi="Times New Roman" w:eastAsia="黑体"/>
          <w:b/>
          <w:sz w:val="72"/>
          <w:highlight w:val="none"/>
        </w:rPr>
        <w:t>投  标  文  件</w:t>
      </w:r>
    </w:p>
    <w:p w14:paraId="7501135E">
      <w:pPr>
        <w:jc w:val="center"/>
        <w:rPr>
          <w:rFonts w:ascii="Times New Roman" w:hAnsi="Times New Roman"/>
          <w:b/>
          <w:sz w:val="72"/>
          <w:highlight w:val="none"/>
        </w:rPr>
      </w:pPr>
    </w:p>
    <w:p w14:paraId="5C1E76CC">
      <w:pPr>
        <w:jc w:val="center"/>
        <w:rPr>
          <w:rFonts w:ascii="Times New Roman" w:hAnsi="Times New Roman" w:eastAsia="楷体_GB2312"/>
          <w:sz w:val="44"/>
          <w:szCs w:val="44"/>
          <w:highlight w:val="none"/>
        </w:rPr>
      </w:pPr>
      <w:r>
        <w:rPr>
          <w:rFonts w:ascii="Times New Roman" w:hAnsi="Times New Roman" w:eastAsia="楷体_GB2312"/>
          <w:sz w:val="44"/>
          <w:szCs w:val="44"/>
          <w:highlight w:val="none"/>
        </w:rPr>
        <w:t>【正/副本】</w:t>
      </w:r>
    </w:p>
    <w:p w14:paraId="2908C8EF">
      <w:pPr>
        <w:jc w:val="center"/>
        <w:rPr>
          <w:rFonts w:ascii="Times New Roman" w:hAnsi="Times New Roman"/>
          <w:b/>
          <w:sz w:val="36"/>
          <w:highlight w:val="none"/>
        </w:rPr>
      </w:pPr>
    </w:p>
    <w:p w14:paraId="7AE6831A">
      <w:pPr>
        <w:jc w:val="center"/>
        <w:rPr>
          <w:rFonts w:ascii="Times New Roman" w:hAnsi="Times New Roman"/>
          <w:b/>
          <w:sz w:val="36"/>
          <w:highlight w:val="none"/>
        </w:rPr>
      </w:pPr>
    </w:p>
    <w:p w14:paraId="2DBCC3DF">
      <w:pPr>
        <w:rPr>
          <w:rFonts w:ascii="Times New Roman" w:hAnsi="Times New Roman"/>
          <w:b/>
          <w:sz w:val="36"/>
          <w:highlight w:val="none"/>
        </w:rPr>
      </w:pPr>
    </w:p>
    <w:p w14:paraId="41CCDDA6">
      <w:pPr>
        <w:ind w:firstLine="1084" w:firstLineChars="300"/>
        <w:rPr>
          <w:rFonts w:ascii="Times New Roman" w:hAnsi="Times New Roman"/>
          <w:b/>
          <w:sz w:val="36"/>
          <w:highlight w:val="none"/>
        </w:rPr>
      </w:pPr>
      <w:r>
        <w:rPr>
          <w:rFonts w:ascii="Times New Roman" w:hAnsi="Times New Roman"/>
          <w:b/>
          <w:sz w:val="36"/>
          <w:highlight w:val="none"/>
        </w:rPr>
        <w:t>项 目 名 称：</w:t>
      </w:r>
      <w:r>
        <w:rPr>
          <w:rFonts w:ascii="Times New Roman" w:hAnsi="Times New Roman"/>
          <w:b/>
          <w:sz w:val="36"/>
          <w:highlight w:val="none"/>
          <w:u w:val="single"/>
        </w:rPr>
        <w:t xml:space="preserve">                      </w:t>
      </w:r>
      <w:r>
        <w:rPr>
          <w:rFonts w:ascii="Times New Roman" w:hAnsi="Times New Roman"/>
          <w:b/>
          <w:sz w:val="36"/>
          <w:highlight w:val="none"/>
        </w:rPr>
        <w:t xml:space="preserve">  </w:t>
      </w:r>
    </w:p>
    <w:p w14:paraId="466186CA">
      <w:pPr>
        <w:ind w:firstLine="1084" w:firstLineChars="300"/>
        <w:rPr>
          <w:rFonts w:ascii="Times New Roman" w:hAnsi="Times New Roman"/>
          <w:b/>
          <w:sz w:val="36"/>
          <w:highlight w:val="none"/>
        </w:rPr>
      </w:pPr>
    </w:p>
    <w:p w14:paraId="60E7D37A">
      <w:pPr>
        <w:ind w:firstLine="1084" w:firstLineChars="300"/>
        <w:rPr>
          <w:rFonts w:ascii="Times New Roman" w:hAnsi="Times New Roman"/>
          <w:b/>
          <w:sz w:val="36"/>
          <w:highlight w:val="none"/>
          <w:u w:val="single"/>
        </w:rPr>
      </w:pPr>
      <w:r>
        <w:rPr>
          <w:rFonts w:ascii="Times New Roman" w:hAnsi="Times New Roman"/>
          <w:b/>
          <w:sz w:val="36"/>
          <w:highlight w:val="none"/>
        </w:rPr>
        <w:t>招 标 编 号：</w:t>
      </w:r>
      <w:r>
        <w:rPr>
          <w:rFonts w:ascii="Times New Roman" w:hAnsi="Times New Roman"/>
          <w:b/>
          <w:sz w:val="36"/>
          <w:highlight w:val="none"/>
          <w:u w:val="single"/>
        </w:rPr>
        <w:t xml:space="preserve">                      </w:t>
      </w:r>
    </w:p>
    <w:p w14:paraId="7DCDA64B">
      <w:pPr>
        <w:ind w:firstLine="1084" w:firstLineChars="300"/>
        <w:rPr>
          <w:rFonts w:ascii="Times New Roman" w:hAnsi="Times New Roman"/>
          <w:b/>
          <w:sz w:val="36"/>
          <w:highlight w:val="none"/>
          <w:u w:val="single"/>
        </w:rPr>
      </w:pPr>
    </w:p>
    <w:p w14:paraId="70027BC3">
      <w:pPr>
        <w:ind w:firstLine="1084" w:firstLineChars="300"/>
        <w:rPr>
          <w:rFonts w:ascii="Times New Roman" w:hAnsi="Times New Roman"/>
          <w:b/>
          <w:sz w:val="36"/>
          <w:highlight w:val="none"/>
          <w:u w:val="single"/>
        </w:rPr>
      </w:pPr>
      <w:r>
        <w:rPr>
          <w:rFonts w:ascii="Times New Roman" w:hAnsi="Times New Roman"/>
          <w:b/>
          <w:sz w:val="36"/>
          <w:highlight w:val="none"/>
        </w:rPr>
        <w:t>供应商名称 ：</w:t>
      </w:r>
      <w:r>
        <w:rPr>
          <w:rFonts w:ascii="Times New Roman" w:hAnsi="Times New Roman"/>
          <w:b/>
          <w:sz w:val="36"/>
          <w:highlight w:val="none"/>
          <w:u w:val="single"/>
        </w:rPr>
        <w:t xml:space="preserve">                      </w:t>
      </w:r>
    </w:p>
    <w:p w14:paraId="333D1660">
      <w:pPr>
        <w:ind w:firstLine="1084" w:firstLineChars="300"/>
        <w:rPr>
          <w:rFonts w:ascii="Times New Roman" w:hAnsi="Times New Roman"/>
          <w:b/>
          <w:sz w:val="36"/>
          <w:highlight w:val="none"/>
          <w:u w:val="single"/>
        </w:rPr>
      </w:pPr>
    </w:p>
    <w:p w14:paraId="305CA736">
      <w:pPr>
        <w:ind w:firstLine="1084" w:firstLineChars="300"/>
        <w:rPr>
          <w:rFonts w:ascii="Times New Roman" w:hAnsi="Times New Roman"/>
          <w:b/>
          <w:sz w:val="36"/>
          <w:highlight w:val="none"/>
          <w:u w:val="single"/>
        </w:rPr>
      </w:pPr>
      <w:r>
        <w:rPr>
          <w:rFonts w:ascii="Times New Roman" w:hAnsi="Times New Roman"/>
          <w:b/>
          <w:sz w:val="36"/>
          <w:highlight w:val="none"/>
        </w:rPr>
        <w:t>地      址 ：</w:t>
      </w:r>
      <w:r>
        <w:rPr>
          <w:rFonts w:ascii="Times New Roman" w:hAnsi="Times New Roman"/>
          <w:b/>
          <w:sz w:val="36"/>
          <w:highlight w:val="none"/>
          <w:u w:val="single"/>
        </w:rPr>
        <w:t xml:space="preserve">                      </w:t>
      </w:r>
    </w:p>
    <w:p w14:paraId="43272676">
      <w:pPr>
        <w:ind w:firstLine="1084" w:firstLineChars="300"/>
        <w:rPr>
          <w:rFonts w:ascii="Times New Roman" w:hAnsi="Times New Roman"/>
          <w:b/>
          <w:sz w:val="36"/>
          <w:highlight w:val="none"/>
          <w:u w:val="single"/>
        </w:rPr>
      </w:pPr>
    </w:p>
    <w:p w14:paraId="556492AE">
      <w:pPr>
        <w:ind w:firstLine="1084" w:firstLineChars="300"/>
        <w:rPr>
          <w:rFonts w:ascii="Times New Roman" w:hAnsi="Times New Roman"/>
          <w:b/>
          <w:sz w:val="36"/>
          <w:highlight w:val="none"/>
          <w:u w:val="single"/>
        </w:rPr>
      </w:pPr>
      <w:r>
        <w:rPr>
          <w:rFonts w:ascii="Times New Roman" w:hAnsi="Times New Roman"/>
          <w:b/>
          <w:sz w:val="36"/>
          <w:highlight w:val="none"/>
        </w:rPr>
        <w:t>授 权 代 表：</w:t>
      </w:r>
      <w:r>
        <w:rPr>
          <w:rFonts w:ascii="Times New Roman" w:hAnsi="Times New Roman"/>
          <w:b/>
          <w:sz w:val="36"/>
          <w:highlight w:val="none"/>
          <w:u w:val="single"/>
        </w:rPr>
        <w:t xml:space="preserve">                      </w:t>
      </w:r>
    </w:p>
    <w:p w14:paraId="46C2B6C6">
      <w:pPr>
        <w:ind w:firstLine="1084" w:firstLineChars="300"/>
        <w:rPr>
          <w:rFonts w:ascii="Times New Roman" w:hAnsi="Times New Roman"/>
          <w:b/>
          <w:sz w:val="36"/>
          <w:highlight w:val="none"/>
          <w:u w:val="single"/>
        </w:rPr>
      </w:pPr>
    </w:p>
    <w:p w14:paraId="6A212898">
      <w:pPr>
        <w:ind w:firstLine="1084" w:firstLineChars="300"/>
        <w:rPr>
          <w:rFonts w:ascii="Times New Roman" w:hAnsi="Times New Roman"/>
          <w:b/>
          <w:sz w:val="36"/>
          <w:highlight w:val="none"/>
        </w:rPr>
      </w:pPr>
      <w:r>
        <w:rPr>
          <w:rFonts w:ascii="Times New Roman" w:hAnsi="Times New Roman"/>
          <w:b/>
          <w:sz w:val="36"/>
          <w:highlight w:val="none"/>
        </w:rPr>
        <w:t>联 系 电 话：</w:t>
      </w:r>
      <w:r>
        <w:rPr>
          <w:rFonts w:ascii="Times New Roman" w:hAnsi="Times New Roman"/>
          <w:b/>
          <w:sz w:val="36"/>
          <w:highlight w:val="none"/>
          <w:u w:val="single"/>
        </w:rPr>
        <w:t xml:space="preserve">                      </w:t>
      </w:r>
    </w:p>
    <w:p w14:paraId="008041E5">
      <w:pPr>
        <w:ind w:firstLine="1084" w:firstLineChars="300"/>
        <w:rPr>
          <w:rFonts w:ascii="Times New Roman" w:hAnsi="Times New Roman"/>
          <w:b/>
          <w:sz w:val="36"/>
          <w:highlight w:val="none"/>
        </w:rPr>
      </w:pPr>
    </w:p>
    <w:p w14:paraId="7B6288E8">
      <w:pPr>
        <w:ind w:firstLine="1084" w:firstLineChars="300"/>
        <w:rPr>
          <w:rFonts w:ascii="Times New Roman" w:hAnsi="Times New Roman"/>
          <w:b/>
          <w:sz w:val="36"/>
          <w:highlight w:val="none"/>
        </w:rPr>
      </w:pPr>
      <w:r>
        <w:rPr>
          <w:rFonts w:ascii="Times New Roman" w:hAnsi="Times New Roman"/>
          <w:b/>
          <w:sz w:val="36"/>
          <w:highlight w:val="none"/>
        </w:rPr>
        <w:t>日      期 ：</w:t>
      </w:r>
      <w:r>
        <w:rPr>
          <w:rFonts w:ascii="Times New Roman" w:hAnsi="Times New Roman"/>
          <w:b/>
          <w:sz w:val="36"/>
          <w:highlight w:val="none"/>
          <w:u w:val="single"/>
        </w:rPr>
        <w:t xml:space="preserve">                      </w:t>
      </w:r>
    </w:p>
    <w:p w14:paraId="1303A283">
      <w:pPr>
        <w:pStyle w:val="5"/>
        <w:spacing w:before="0" w:after="0" w:line="538" w:lineRule="exact"/>
        <w:ind w:firstLine="540" w:firstLineChars="150"/>
        <w:jc w:val="center"/>
        <w:rPr>
          <w:highlight w:val="none"/>
        </w:rPr>
      </w:pPr>
      <w:r>
        <w:rPr>
          <w:rFonts w:eastAsia="黑体"/>
          <w:b w:val="0"/>
          <w:bCs w:val="0"/>
          <w:sz w:val="36"/>
          <w:highlight w:val="none"/>
        </w:rPr>
        <w:br w:type="page"/>
      </w:r>
      <w:bookmarkStart w:id="202" w:name="_Toc481072018"/>
      <w:bookmarkStart w:id="203" w:name="_Toc406861645"/>
      <w:bookmarkStart w:id="204" w:name="_Toc475009302"/>
      <w:bookmarkStart w:id="205" w:name="_Toc481071972"/>
      <w:r>
        <w:rPr>
          <w:rFonts w:hint="eastAsia"/>
          <w:highlight w:val="none"/>
        </w:rPr>
        <w:t>资格性响应审查对照表</w:t>
      </w:r>
    </w:p>
    <w:p w14:paraId="34F45217">
      <w:pPr>
        <w:ind w:firstLine="480" w:firstLineChars="200"/>
        <w:rPr>
          <w:sz w:val="24"/>
          <w:szCs w:val="24"/>
          <w:highlight w:val="none"/>
        </w:rPr>
      </w:pPr>
      <w:r>
        <w:rPr>
          <w:sz w:val="24"/>
          <w:szCs w:val="24"/>
          <w:highlight w:val="none"/>
        </w:rPr>
        <w:t xml:space="preserve">供应商全称（加盖公章）：                      </w:t>
      </w:r>
    </w:p>
    <w:p w14:paraId="3C7681AF">
      <w:pPr>
        <w:ind w:firstLine="480" w:firstLineChars="200"/>
        <w:rPr>
          <w:sz w:val="24"/>
          <w:szCs w:val="24"/>
          <w:highlight w:val="none"/>
        </w:rPr>
      </w:pPr>
      <w:r>
        <w:rPr>
          <w:sz w:val="24"/>
          <w:szCs w:val="24"/>
          <w:highlight w:val="none"/>
        </w:rPr>
        <w:t>项目名称：</w:t>
      </w:r>
    </w:p>
    <w:tbl>
      <w:tblPr>
        <w:tblStyle w:val="37"/>
        <w:tblW w:w="96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4820"/>
        <w:gridCol w:w="1843"/>
        <w:gridCol w:w="2220"/>
      </w:tblGrid>
      <w:tr w14:paraId="13B2C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747" w:type="dxa"/>
            <w:tcBorders>
              <w:top w:val="single" w:color="auto" w:sz="4" w:space="0"/>
              <w:left w:val="single" w:color="auto" w:sz="4" w:space="0"/>
              <w:bottom w:val="single" w:color="auto" w:sz="4" w:space="0"/>
              <w:right w:val="single" w:color="auto" w:sz="4" w:space="0"/>
            </w:tcBorders>
            <w:noWrap w:val="0"/>
            <w:vAlign w:val="center"/>
          </w:tcPr>
          <w:p w14:paraId="2A2AC55F">
            <w:pPr>
              <w:jc w:val="center"/>
              <w:rPr>
                <w:sz w:val="24"/>
                <w:szCs w:val="24"/>
                <w:highlight w:val="none"/>
              </w:rPr>
            </w:pPr>
            <w:r>
              <w:rPr>
                <w:sz w:val="24"/>
                <w:szCs w:val="24"/>
                <w:highlight w:val="none"/>
              </w:rPr>
              <w:t>序号</w:t>
            </w:r>
          </w:p>
        </w:tc>
        <w:tc>
          <w:tcPr>
            <w:tcW w:w="4820" w:type="dxa"/>
            <w:tcBorders>
              <w:top w:val="single" w:color="auto" w:sz="4" w:space="0"/>
              <w:left w:val="single" w:color="auto" w:sz="4" w:space="0"/>
              <w:bottom w:val="single" w:color="auto" w:sz="4" w:space="0"/>
              <w:right w:val="single" w:color="auto" w:sz="4" w:space="0"/>
            </w:tcBorders>
            <w:noWrap w:val="0"/>
            <w:vAlign w:val="center"/>
          </w:tcPr>
          <w:p w14:paraId="487C84DC">
            <w:pPr>
              <w:jc w:val="center"/>
              <w:rPr>
                <w:sz w:val="24"/>
                <w:szCs w:val="24"/>
                <w:highlight w:val="none"/>
              </w:rPr>
            </w:pPr>
            <w:r>
              <w:rPr>
                <w:sz w:val="24"/>
                <w:szCs w:val="24"/>
                <w:highlight w:val="none"/>
              </w:rPr>
              <w:t>资格性</w:t>
            </w:r>
            <w:r>
              <w:rPr>
                <w:rFonts w:hint="eastAsia"/>
                <w:sz w:val="24"/>
                <w:szCs w:val="24"/>
                <w:highlight w:val="none"/>
              </w:rPr>
              <w:t>响应审</w:t>
            </w:r>
            <w:r>
              <w:rPr>
                <w:sz w:val="24"/>
                <w:szCs w:val="24"/>
                <w:highlight w:val="none"/>
              </w:rPr>
              <w:t>查内容</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33C734CA">
            <w:pPr>
              <w:jc w:val="center"/>
              <w:rPr>
                <w:sz w:val="24"/>
                <w:szCs w:val="24"/>
                <w:highlight w:val="none"/>
              </w:rPr>
            </w:pPr>
            <w:r>
              <w:rPr>
                <w:sz w:val="24"/>
                <w:szCs w:val="24"/>
                <w:highlight w:val="none"/>
              </w:rPr>
              <w:t>是否响应</w:t>
            </w:r>
          </w:p>
          <w:p w14:paraId="727CD5FC">
            <w:pPr>
              <w:jc w:val="center"/>
              <w:rPr>
                <w:sz w:val="24"/>
                <w:szCs w:val="24"/>
                <w:highlight w:val="none"/>
              </w:rPr>
            </w:pPr>
            <w:r>
              <w:rPr>
                <w:sz w:val="24"/>
                <w:szCs w:val="24"/>
                <w:highlight w:val="none"/>
              </w:rPr>
              <w:t>（填是或者否）</w:t>
            </w:r>
          </w:p>
        </w:tc>
        <w:tc>
          <w:tcPr>
            <w:tcW w:w="2220" w:type="dxa"/>
            <w:tcBorders>
              <w:top w:val="single" w:color="auto" w:sz="4" w:space="0"/>
              <w:left w:val="single" w:color="auto" w:sz="4" w:space="0"/>
              <w:bottom w:val="single" w:color="auto" w:sz="4" w:space="0"/>
              <w:right w:val="single" w:color="auto" w:sz="4" w:space="0"/>
            </w:tcBorders>
            <w:noWrap w:val="0"/>
            <w:vAlign w:val="center"/>
          </w:tcPr>
          <w:p w14:paraId="5BAE287A">
            <w:pPr>
              <w:jc w:val="center"/>
              <w:rPr>
                <w:sz w:val="24"/>
                <w:szCs w:val="24"/>
                <w:highlight w:val="none"/>
              </w:rPr>
            </w:pPr>
            <w:r>
              <w:rPr>
                <w:sz w:val="24"/>
                <w:szCs w:val="24"/>
                <w:highlight w:val="none"/>
              </w:rPr>
              <w:t>供应商制作的</w:t>
            </w:r>
            <w:r>
              <w:rPr>
                <w:rFonts w:hint="eastAsia"/>
                <w:sz w:val="24"/>
                <w:szCs w:val="24"/>
                <w:highlight w:val="none"/>
              </w:rPr>
              <w:t>投标</w:t>
            </w:r>
            <w:r>
              <w:rPr>
                <w:sz w:val="24"/>
                <w:szCs w:val="24"/>
                <w:highlight w:val="none"/>
              </w:rPr>
              <w:t>文件中的页码位置</w:t>
            </w:r>
          </w:p>
        </w:tc>
      </w:tr>
      <w:tr w14:paraId="25034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747" w:type="dxa"/>
            <w:noWrap w:val="0"/>
            <w:vAlign w:val="center"/>
          </w:tcPr>
          <w:p w14:paraId="37FBC4E6">
            <w:pPr>
              <w:jc w:val="center"/>
              <w:rPr>
                <w:rFonts w:eastAsia="仿宋_GB2312"/>
                <w:b/>
                <w:sz w:val="24"/>
                <w:szCs w:val="24"/>
                <w:highlight w:val="none"/>
              </w:rPr>
            </w:pPr>
            <w:r>
              <w:rPr>
                <w:rFonts w:eastAsia="仿宋_GB2312"/>
                <w:sz w:val="24"/>
                <w:szCs w:val="24"/>
                <w:highlight w:val="none"/>
              </w:rPr>
              <w:t>1</w:t>
            </w:r>
          </w:p>
        </w:tc>
        <w:tc>
          <w:tcPr>
            <w:tcW w:w="4820" w:type="dxa"/>
            <w:noWrap w:val="0"/>
            <w:vAlign w:val="center"/>
          </w:tcPr>
          <w:p w14:paraId="6D45E87E">
            <w:pPr>
              <w:snapToGrid w:val="0"/>
              <w:spacing w:line="360" w:lineRule="exact"/>
              <w:rPr>
                <w:sz w:val="24"/>
                <w:highlight w:val="none"/>
              </w:rPr>
            </w:pPr>
            <w:r>
              <w:rPr>
                <w:sz w:val="24"/>
                <w:highlight w:val="none"/>
              </w:rPr>
              <w:t>法人或者其他组织的营业执照等证明文件</w:t>
            </w:r>
            <w:r>
              <w:rPr>
                <w:rStyle w:val="87"/>
                <w:kern w:val="0"/>
                <w:sz w:val="24"/>
                <w:szCs w:val="24"/>
                <w:highlight w:val="none"/>
              </w:rPr>
              <w:t>，自然人的身份证明</w:t>
            </w:r>
            <w:r>
              <w:rPr>
                <w:sz w:val="24"/>
                <w:highlight w:val="none"/>
              </w:rPr>
              <w:t>（复印件）</w:t>
            </w:r>
          </w:p>
        </w:tc>
        <w:tc>
          <w:tcPr>
            <w:tcW w:w="1843" w:type="dxa"/>
            <w:noWrap w:val="0"/>
            <w:vAlign w:val="center"/>
          </w:tcPr>
          <w:p w14:paraId="0AAC7A34">
            <w:pPr>
              <w:ind w:firstLine="560"/>
              <w:jc w:val="center"/>
              <w:rPr>
                <w:rFonts w:eastAsia="仿宋_GB2312"/>
                <w:b/>
                <w:sz w:val="24"/>
                <w:szCs w:val="24"/>
                <w:highlight w:val="none"/>
              </w:rPr>
            </w:pPr>
          </w:p>
        </w:tc>
        <w:tc>
          <w:tcPr>
            <w:tcW w:w="2220" w:type="dxa"/>
            <w:noWrap w:val="0"/>
            <w:vAlign w:val="center"/>
          </w:tcPr>
          <w:p w14:paraId="1FBAC89A">
            <w:pPr>
              <w:ind w:firstLine="560"/>
              <w:jc w:val="center"/>
              <w:rPr>
                <w:rFonts w:eastAsia="仿宋_GB2312"/>
                <w:b/>
                <w:sz w:val="24"/>
                <w:szCs w:val="24"/>
                <w:highlight w:val="none"/>
              </w:rPr>
            </w:pPr>
          </w:p>
        </w:tc>
      </w:tr>
      <w:tr w14:paraId="5B583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747" w:type="dxa"/>
            <w:noWrap w:val="0"/>
            <w:vAlign w:val="center"/>
          </w:tcPr>
          <w:p w14:paraId="1D4A02D1">
            <w:pPr>
              <w:jc w:val="center"/>
              <w:rPr>
                <w:rFonts w:eastAsia="仿宋_GB2312"/>
                <w:sz w:val="24"/>
                <w:szCs w:val="24"/>
                <w:highlight w:val="none"/>
              </w:rPr>
            </w:pPr>
            <w:r>
              <w:rPr>
                <w:rFonts w:eastAsia="仿宋_GB2312"/>
                <w:sz w:val="24"/>
                <w:szCs w:val="24"/>
                <w:highlight w:val="none"/>
              </w:rPr>
              <w:t>2</w:t>
            </w:r>
          </w:p>
        </w:tc>
        <w:tc>
          <w:tcPr>
            <w:tcW w:w="4820" w:type="dxa"/>
            <w:noWrap w:val="0"/>
            <w:vAlign w:val="center"/>
          </w:tcPr>
          <w:p w14:paraId="32C33F59">
            <w:pPr>
              <w:snapToGrid w:val="0"/>
              <w:spacing w:line="360" w:lineRule="exact"/>
              <w:rPr>
                <w:sz w:val="24"/>
                <w:highlight w:val="none"/>
              </w:rPr>
            </w:pPr>
            <w:r>
              <w:rPr>
                <w:rFonts w:hint="eastAsia"/>
                <w:sz w:val="24"/>
                <w:highlight w:val="none"/>
                <w:lang w:val="en-US" w:eastAsia="zh-CN"/>
              </w:rPr>
              <w:t>2025或2024年度</w:t>
            </w:r>
            <w:r>
              <w:rPr>
                <w:sz w:val="24"/>
                <w:highlight w:val="none"/>
              </w:rPr>
              <w:t>财务状况报告（复印件，成立不满一年不需提供）</w:t>
            </w:r>
          </w:p>
        </w:tc>
        <w:tc>
          <w:tcPr>
            <w:tcW w:w="1843" w:type="dxa"/>
            <w:noWrap w:val="0"/>
            <w:vAlign w:val="center"/>
          </w:tcPr>
          <w:p w14:paraId="0DECADB3">
            <w:pPr>
              <w:ind w:firstLine="560"/>
              <w:jc w:val="center"/>
              <w:rPr>
                <w:rFonts w:eastAsia="仿宋_GB2312"/>
                <w:b/>
                <w:sz w:val="24"/>
                <w:szCs w:val="24"/>
                <w:highlight w:val="none"/>
              </w:rPr>
            </w:pPr>
          </w:p>
        </w:tc>
        <w:tc>
          <w:tcPr>
            <w:tcW w:w="2220" w:type="dxa"/>
            <w:noWrap w:val="0"/>
            <w:vAlign w:val="center"/>
          </w:tcPr>
          <w:p w14:paraId="35512032">
            <w:pPr>
              <w:ind w:firstLine="560"/>
              <w:jc w:val="center"/>
              <w:rPr>
                <w:rFonts w:eastAsia="仿宋_GB2312"/>
                <w:b/>
                <w:sz w:val="24"/>
                <w:szCs w:val="24"/>
                <w:highlight w:val="none"/>
              </w:rPr>
            </w:pPr>
          </w:p>
        </w:tc>
      </w:tr>
      <w:tr w14:paraId="1A000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289DF850">
            <w:pPr>
              <w:jc w:val="center"/>
              <w:rPr>
                <w:rFonts w:eastAsia="仿宋_GB2312"/>
                <w:sz w:val="24"/>
                <w:szCs w:val="24"/>
                <w:highlight w:val="none"/>
              </w:rPr>
            </w:pPr>
            <w:r>
              <w:rPr>
                <w:rFonts w:eastAsia="仿宋_GB2312"/>
                <w:sz w:val="24"/>
                <w:szCs w:val="24"/>
                <w:highlight w:val="none"/>
              </w:rPr>
              <w:t>3</w:t>
            </w:r>
          </w:p>
        </w:tc>
        <w:tc>
          <w:tcPr>
            <w:tcW w:w="4820" w:type="dxa"/>
            <w:noWrap w:val="0"/>
            <w:vAlign w:val="center"/>
          </w:tcPr>
          <w:p w14:paraId="0BB1A668">
            <w:pPr>
              <w:snapToGrid w:val="0"/>
              <w:spacing w:line="360" w:lineRule="exact"/>
              <w:rPr>
                <w:sz w:val="24"/>
                <w:highlight w:val="none"/>
              </w:rPr>
            </w:pPr>
            <w:r>
              <w:rPr>
                <w:sz w:val="24"/>
                <w:highlight w:val="none"/>
              </w:rPr>
              <w:t>公告前六个月内任一月份的</w:t>
            </w:r>
            <w:r>
              <w:rPr>
                <w:b/>
                <w:sz w:val="24"/>
                <w:highlight w:val="none"/>
              </w:rPr>
              <w:t>依法缴纳税收</w:t>
            </w:r>
            <w:r>
              <w:rPr>
                <w:sz w:val="24"/>
                <w:highlight w:val="none"/>
              </w:rPr>
              <w:t>和</w:t>
            </w:r>
            <w:r>
              <w:rPr>
                <w:b/>
                <w:sz w:val="24"/>
                <w:highlight w:val="none"/>
              </w:rPr>
              <w:t>社会保障资金</w:t>
            </w:r>
            <w:r>
              <w:rPr>
                <w:sz w:val="24"/>
                <w:highlight w:val="none"/>
              </w:rPr>
              <w:t>的相关材料（提供相关主管部门证明、或官方网站打印或银行代扣证明，根据国家相关政策免缴或迟缴的需提供相关证明材料</w:t>
            </w:r>
            <w:r>
              <w:rPr>
                <w:rFonts w:hint="eastAsia"/>
                <w:sz w:val="24"/>
                <w:highlight w:val="none"/>
              </w:rPr>
              <w:t>复印件）</w:t>
            </w:r>
          </w:p>
        </w:tc>
        <w:tc>
          <w:tcPr>
            <w:tcW w:w="1843" w:type="dxa"/>
            <w:noWrap w:val="0"/>
            <w:vAlign w:val="center"/>
          </w:tcPr>
          <w:p w14:paraId="39A30DC6">
            <w:pPr>
              <w:ind w:firstLine="560"/>
              <w:jc w:val="center"/>
              <w:rPr>
                <w:rFonts w:eastAsia="仿宋_GB2312"/>
                <w:b/>
                <w:sz w:val="24"/>
                <w:szCs w:val="24"/>
                <w:highlight w:val="none"/>
              </w:rPr>
            </w:pPr>
          </w:p>
        </w:tc>
        <w:tc>
          <w:tcPr>
            <w:tcW w:w="2220" w:type="dxa"/>
            <w:noWrap w:val="0"/>
            <w:vAlign w:val="center"/>
          </w:tcPr>
          <w:p w14:paraId="20F00C72">
            <w:pPr>
              <w:ind w:firstLine="560"/>
              <w:jc w:val="center"/>
              <w:rPr>
                <w:rFonts w:eastAsia="仿宋_GB2312"/>
                <w:b/>
                <w:sz w:val="24"/>
                <w:szCs w:val="24"/>
                <w:highlight w:val="none"/>
              </w:rPr>
            </w:pPr>
          </w:p>
        </w:tc>
      </w:tr>
      <w:tr w14:paraId="73E68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747" w:type="dxa"/>
            <w:noWrap w:val="0"/>
            <w:vAlign w:val="center"/>
          </w:tcPr>
          <w:p w14:paraId="13626B1E">
            <w:pPr>
              <w:jc w:val="center"/>
              <w:rPr>
                <w:rFonts w:eastAsia="仿宋_GB2312"/>
                <w:sz w:val="24"/>
                <w:szCs w:val="24"/>
                <w:highlight w:val="none"/>
              </w:rPr>
            </w:pPr>
            <w:r>
              <w:rPr>
                <w:rFonts w:eastAsia="仿宋_GB2312"/>
                <w:sz w:val="24"/>
                <w:szCs w:val="24"/>
                <w:highlight w:val="none"/>
              </w:rPr>
              <w:t>4</w:t>
            </w:r>
          </w:p>
        </w:tc>
        <w:tc>
          <w:tcPr>
            <w:tcW w:w="4820" w:type="dxa"/>
            <w:noWrap w:val="0"/>
            <w:vAlign w:val="center"/>
          </w:tcPr>
          <w:p w14:paraId="0CA12E93">
            <w:pPr>
              <w:snapToGrid w:val="0"/>
              <w:spacing w:line="360" w:lineRule="exact"/>
              <w:rPr>
                <w:sz w:val="24"/>
                <w:highlight w:val="none"/>
              </w:rPr>
            </w:pPr>
            <w:r>
              <w:rPr>
                <w:sz w:val="24"/>
                <w:highlight w:val="none"/>
              </w:rPr>
              <w:t>具备履行合同所必需的设备和专业技术能力的证明材料</w:t>
            </w:r>
            <w:r>
              <w:rPr>
                <w:rFonts w:hint="eastAsia"/>
                <w:sz w:val="24"/>
                <w:highlight w:val="none"/>
              </w:rPr>
              <w:t>（复印件）</w:t>
            </w:r>
            <w:r>
              <w:rPr>
                <w:sz w:val="24"/>
                <w:highlight w:val="none"/>
              </w:rPr>
              <w:t>或书面声明（原件）</w:t>
            </w:r>
          </w:p>
        </w:tc>
        <w:tc>
          <w:tcPr>
            <w:tcW w:w="1843" w:type="dxa"/>
            <w:noWrap w:val="0"/>
            <w:vAlign w:val="center"/>
          </w:tcPr>
          <w:p w14:paraId="4B64256E">
            <w:pPr>
              <w:ind w:firstLine="560"/>
              <w:jc w:val="center"/>
              <w:rPr>
                <w:rFonts w:eastAsia="仿宋_GB2312"/>
                <w:b/>
                <w:sz w:val="24"/>
                <w:szCs w:val="24"/>
                <w:highlight w:val="none"/>
              </w:rPr>
            </w:pPr>
          </w:p>
        </w:tc>
        <w:tc>
          <w:tcPr>
            <w:tcW w:w="2220" w:type="dxa"/>
            <w:noWrap w:val="0"/>
            <w:vAlign w:val="center"/>
          </w:tcPr>
          <w:p w14:paraId="6A4C74A8">
            <w:pPr>
              <w:ind w:firstLine="560"/>
              <w:jc w:val="center"/>
              <w:rPr>
                <w:rFonts w:eastAsia="仿宋_GB2312"/>
                <w:b/>
                <w:sz w:val="24"/>
                <w:szCs w:val="24"/>
                <w:highlight w:val="none"/>
              </w:rPr>
            </w:pPr>
          </w:p>
        </w:tc>
      </w:tr>
      <w:tr w14:paraId="057A3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747" w:type="dxa"/>
            <w:noWrap w:val="0"/>
            <w:vAlign w:val="center"/>
          </w:tcPr>
          <w:p w14:paraId="48D84C7D">
            <w:pPr>
              <w:jc w:val="center"/>
              <w:rPr>
                <w:rFonts w:eastAsia="仿宋_GB2312"/>
                <w:sz w:val="24"/>
                <w:szCs w:val="24"/>
                <w:highlight w:val="none"/>
              </w:rPr>
            </w:pPr>
            <w:r>
              <w:rPr>
                <w:rFonts w:eastAsia="仿宋_GB2312"/>
                <w:sz w:val="24"/>
                <w:szCs w:val="24"/>
                <w:highlight w:val="none"/>
              </w:rPr>
              <w:t>5</w:t>
            </w:r>
          </w:p>
        </w:tc>
        <w:tc>
          <w:tcPr>
            <w:tcW w:w="4820" w:type="dxa"/>
            <w:noWrap w:val="0"/>
            <w:vAlign w:val="center"/>
          </w:tcPr>
          <w:p w14:paraId="57280CD8">
            <w:pPr>
              <w:snapToGrid w:val="0"/>
              <w:spacing w:line="360" w:lineRule="exact"/>
              <w:rPr>
                <w:sz w:val="24"/>
                <w:highlight w:val="none"/>
              </w:rPr>
            </w:pPr>
            <w:r>
              <w:rPr>
                <w:sz w:val="24"/>
                <w:highlight w:val="none"/>
              </w:rPr>
              <w:t>参加政府采购活动前3年内在经营活动中没有重大违法记录的书面声明（原件）</w:t>
            </w:r>
          </w:p>
        </w:tc>
        <w:tc>
          <w:tcPr>
            <w:tcW w:w="1843" w:type="dxa"/>
            <w:noWrap w:val="0"/>
            <w:vAlign w:val="center"/>
          </w:tcPr>
          <w:p w14:paraId="57445EAE">
            <w:pPr>
              <w:ind w:firstLine="560"/>
              <w:jc w:val="center"/>
              <w:rPr>
                <w:rFonts w:eastAsia="仿宋_GB2312"/>
                <w:b/>
                <w:sz w:val="24"/>
                <w:szCs w:val="24"/>
                <w:highlight w:val="none"/>
              </w:rPr>
            </w:pPr>
          </w:p>
        </w:tc>
        <w:tc>
          <w:tcPr>
            <w:tcW w:w="2220" w:type="dxa"/>
            <w:noWrap w:val="0"/>
            <w:vAlign w:val="center"/>
          </w:tcPr>
          <w:p w14:paraId="495B396A">
            <w:pPr>
              <w:ind w:firstLine="560"/>
              <w:jc w:val="center"/>
              <w:rPr>
                <w:rFonts w:eastAsia="仿宋_GB2312"/>
                <w:b/>
                <w:sz w:val="24"/>
                <w:szCs w:val="24"/>
                <w:highlight w:val="none"/>
              </w:rPr>
            </w:pPr>
          </w:p>
        </w:tc>
      </w:tr>
      <w:tr w14:paraId="79A7F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747" w:type="dxa"/>
            <w:noWrap w:val="0"/>
            <w:vAlign w:val="center"/>
          </w:tcPr>
          <w:p w14:paraId="73B3DB8B">
            <w:pPr>
              <w:jc w:val="center"/>
              <w:rPr>
                <w:rFonts w:eastAsia="仿宋_GB2312"/>
                <w:sz w:val="24"/>
                <w:szCs w:val="24"/>
                <w:highlight w:val="none"/>
              </w:rPr>
            </w:pPr>
            <w:r>
              <w:rPr>
                <w:rFonts w:hint="eastAsia" w:eastAsia="仿宋_GB2312"/>
                <w:sz w:val="24"/>
                <w:szCs w:val="24"/>
                <w:highlight w:val="none"/>
              </w:rPr>
              <w:t>6</w:t>
            </w:r>
          </w:p>
        </w:tc>
        <w:tc>
          <w:tcPr>
            <w:tcW w:w="4820" w:type="dxa"/>
            <w:noWrap w:val="0"/>
            <w:vAlign w:val="center"/>
          </w:tcPr>
          <w:p w14:paraId="5C199A87">
            <w:pPr>
              <w:snapToGrid w:val="0"/>
              <w:spacing w:line="360" w:lineRule="exact"/>
              <w:rPr>
                <w:sz w:val="24"/>
                <w:szCs w:val="24"/>
                <w:highlight w:val="none"/>
              </w:rPr>
            </w:pPr>
            <w:r>
              <w:rPr>
                <w:rFonts w:hint="eastAsia"/>
                <w:sz w:val="24"/>
                <w:szCs w:val="24"/>
                <w:highlight w:val="none"/>
              </w:rPr>
              <w:t>投标</w:t>
            </w:r>
            <w:r>
              <w:rPr>
                <w:sz w:val="24"/>
                <w:szCs w:val="24"/>
                <w:highlight w:val="none"/>
              </w:rPr>
              <w:t>函</w:t>
            </w:r>
            <w:r>
              <w:rPr>
                <w:sz w:val="24"/>
                <w:highlight w:val="none"/>
              </w:rPr>
              <w:t>（原件）</w:t>
            </w:r>
          </w:p>
        </w:tc>
        <w:tc>
          <w:tcPr>
            <w:tcW w:w="1843" w:type="dxa"/>
            <w:noWrap w:val="0"/>
            <w:vAlign w:val="center"/>
          </w:tcPr>
          <w:p w14:paraId="533E82E6">
            <w:pPr>
              <w:ind w:firstLine="560"/>
              <w:jc w:val="center"/>
              <w:rPr>
                <w:rFonts w:eastAsia="仿宋_GB2312"/>
                <w:sz w:val="24"/>
                <w:szCs w:val="24"/>
                <w:highlight w:val="none"/>
              </w:rPr>
            </w:pPr>
          </w:p>
        </w:tc>
        <w:tc>
          <w:tcPr>
            <w:tcW w:w="2220" w:type="dxa"/>
            <w:noWrap w:val="0"/>
            <w:vAlign w:val="center"/>
          </w:tcPr>
          <w:p w14:paraId="54B8E747">
            <w:pPr>
              <w:ind w:firstLine="560"/>
              <w:jc w:val="center"/>
              <w:rPr>
                <w:rFonts w:eastAsia="仿宋_GB2312"/>
                <w:sz w:val="24"/>
                <w:szCs w:val="24"/>
                <w:highlight w:val="none"/>
              </w:rPr>
            </w:pPr>
          </w:p>
        </w:tc>
      </w:tr>
      <w:tr w14:paraId="7CA99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1E22C251">
            <w:pPr>
              <w:spacing w:line="480" w:lineRule="exact"/>
              <w:jc w:val="center"/>
              <w:rPr>
                <w:sz w:val="24"/>
                <w:highlight w:val="none"/>
              </w:rPr>
            </w:pPr>
            <w:r>
              <w:rPr>
                <w:rFonts w:hint="eastAsia"/>
                <w:sz w:val="24"/>
                <w:highlight w:val="none"/>
              </w:rPr>
              <w:t>7</w:t>
            </w:r>
          </w:p>
        </w:tc>
        <w:tc>
          <w:tcPr>
            <w:tcW w:w="4820" w:type="dxa"/>
            <w:noWrap w:val="0"/>
            <w:vAlign w:val="center"/>
          </w:tcPr>
          <w:p w14:paraId="08BD3FB7">
            <w:pPr>
              <w:snapToGrid w:val="0"/>
              <w:spacing w:line="360" w:lineRule="exact"/>
              <w:rPr>
                <w:sz w:val="24"/>
                <w:highlight w:val="none"/>
              </w:rPr>
            </w:pPr>
            <w:r>
              <w:rPr>
                <w:sz w:val="24"/>
                <w:highlight w:val="none"/>
              </w:rPr>
              <w:t>不存在与参加本项目的其他供应商单位负责人为同一人或者存在直接控股、管理关系的承诺（原件）</w:t>
            </w:r>
          </w:p>
        </w:tc>
        <w:tc>
          <w:tcPr>
            <w:tcW w:w="1843" w:type="dxa"/>
            <w:noWrap w:val="0"/>
            <w:vAlign w:val="center"/>
          </w:tcPr>
          <w:p w14:paraId="74520F21">
            <w:pPr>
              <w:ind w:firstLine="560"/>
              <w:jc w:val="center"/>
              <w:rPr>
                <w:rFonts w:eastAsia="仿宋_GB2312"/>
                <w:sz w:val="24"/>
                <w:szCs w:val="24"/>
                <w:highlight w:val="none"/>
              </w:rPr>
            </w:pPr>
          </w:p>
        </w:tc>
        <w:tc>
          <w:tcPr>
            <w:tcW w:w="2220" w:type="dxa"/>
            <w:noWrap w:val="0"/>
            <w:vAlign w:val="center"/>
          </w:tcPr>
          <w:p w14:paraId="70A834C7">
            <w:pPr>
              <w:ind w:firstLine="560"/>
              <w:jc w:val="center"/>
              <w:rPr>
                <w:rFonts w:eastAsia="仿宋_GB2312"/>
                <w:sz w:val="24"/>
                <w:szCs w:val="24"/>
                <w:highlight w:val="none"/>
              </w:rPr>
            </w:pPr>
          </w:p>
        </w:tc>
      </w:tr>
      <w:tr w14:paraId="5A81C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60CA595A">
            <w:pPr>
              <w:spacing w:line="480" w:lineRule="exact"/>
              <w:jc w:val="center"/>
              <w:rPr>
                <w:sz w:val="24"/>
                <w:highlight w:val="none"/>
              </w:rPr>
            </w:pPr>
            <w:r>
              <w:rPr>
                <w:rFonts w:hint="eastAsia"/>
                <w:sz w:val="24"/>
                <w:highlight w:val="none"/>
              </w:rPr>
              <w:t>8</w:t>
            </w:r>
          </w:p>
        </w:tc>
        <w:tc>
          <w:tcPr>
            <w:tcW w:w="4820" w:type="dxa"/>
            <w:noWrap w:val="0"/>
            <w:vAlign w:val="center"/>
          </w:tcPr>
          <w:p w14:paraId="4DE0E53A">
            <w:pPr>
              <w:snapToGrid w:val="0"/>
              <w:spacing w:line="360" w:lineRule="exact"/>
              <w:rPr>
                <w:sz w:val="24"/>
                <w:highlight w:val="none"/>
              </w:rPr>
            </w:pPr>
            <w:r>
              <w:rPr>
                <w:rFonts w:hint="eastAsia"/>
                <w:sz w:val="24"/>
                <w:highlight w:val="none"/>
              </w:rPr>
              <w:t>本项目投标文件提交截止日前</w:t>
            </w:r>
            <w:r>
              <w:rPr>
                <w:sz w:val="24"/>
                <w:highlight w:val="none"/>
              </w:rPr>
              <w:t>未被“信用中国”</w:t>
            </w:r>
            <w:r>
              <w:rPr>
                <w:rFonts w:hint="eastAsia"/>
                <w:sz w:val="24"/>
                <w:highlight w:val="none"/>
              </w:rPr>
              <w:t>、“中国政府采购网”</w:t>
            </w:r>
            <w:r>
              <w:rPr>
                <w:sz w:val="24"/>
                <w:highlight w:val="none"/>
              </w:rPr>
              <w:t>列入失信被执行人、重大税收违法案件当事人名单、政府采购严重失信行为记录名单</w:t>
            </w:r>
            <w:r>
              <w:rPr>
                <w:rFonts w:hint="eastAsia"/>
                <w:sz w:val="24"/>
                <w:highlight w:val="none"/>
              </w:rPr>
              <w:t>及未发现存在不符合《中华人民共和国政府采购法》第二十二条规定条件的情形。</w:t>
            </w:r>
            <w:r>
              <w:rPr>
                <w:rFonts w:hint="eastAsia"/>
                <w:b/>
                <w:sz w:val="24"/>
                <w:highlight w:val="none"/>
              </w:rPr>
              <w:t>（投标文件中无需提供证明材料）</w:t>
            </w:r>
          </w:p>
        </w:tc>
        <w:tc>
          <w:tcPr>
            <w:tcW w:w="1843" w:type="dxa"/>
            <w:noWrap w:val="0"/>
            <w:vAlign w:val="center"/>
          </w:tcPr>
          <w:p w14:paraId="6735A32F">
            <w:pPr>
              <w:ind w:firstLine="560"/>
              <w:jc w:val="center"/>
              <w:rPr>
                <w:rFonts w:eastAsia="仿宋_GB2312"/>
                <w:sz w:val="24"/>
                <w:szCs w:val="24"/>
                <w:highlight w:val="none"/>
              </w:rPr>
            </w:pPr>
          </w:p>
        </w:tc>
        <w:tc>
          <w:tcPr>
            <w:tcW w:w="2220" w:type="dxa"/>
            <w:noWrap w:val="0"/>
            <w:vAlign w:val="center"/>
          </w:tcPr>
          <w:p w14:paraId="57AD2B54">
            <w:pPr>
              <w:ind w:firstLine="560"/>
              <w:jc w:val="center"/>
              <w:rPr>
                <w:rFonts w:eastAsia="仿宋_GB2312"/>
                <w:sz w:val="24"/>
                <w:szCs w:val="24"/>
                <w:highlight w:val="none"/>
              </w:rPr>
            </w:pPr>
          </w:p>
        </w:tc>
      </w:tr>
      <w:tr w14:paraId="62F0B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47" w:type="dxa"/>
            <w:noWrap w:val="0"/>
            <w:vAlign w:val="center"/>
          </w:tcPr>
          <w:p w14:paraId="60BB5D4B">
            <w:pPr>
              <w:spacing w:line="480" w:lineRule="exact"/>
              <w:jc w:val="center"/>
              <w:rPr>
                <w:sz w:val="24"/>
                <w:highlight w:val="none"/>
              </w:rPr>
            </w:pPr>
            <w:r>
              <w:rPr>
                <w:rFonts w:hint="eastAsia"/>
                <w:sz w:val="24"/>
                <w:highlight w:val="none"/>
              </w:rPr>
              <w:t>9</w:t>
            </w:r>
          </w:p>
        </w:tc>
        <w:tc>
          <w:tcPr>
            <w:tcW w:w="4820" w:type="dxa"/>
            <w:noWrap w:val="0"/>
            <w:vAlign w:val="center"/>
          </w:tcPr>
          <w:p w14:paraId="512DAABA">
            <w:pPr>
              <w:snapToGrid w:val="0"/>
              <w:spacing w:line="480" w:lineRule="exact"/>
              <w:rPr>
                <w:sz w:val="24"/>
                <w:szCs w:val="24"/>
                <w:highlight w:val="none"/>
              </w:rPr>
            </w:pPr>
            <w:r>
              <w:rPr>
                <w:sz w:val="24"/>
                <w:highlight w:val="none"/>
              </w:rPr>
              <w:t>本项目不接受联合体参与</w:t>
            </w:r>
            <w:r>
              <w:rPr>
                <w:rFonts w:hint="eastAsia"/>
                <w:sz w:val="24"/>
                <w:highlight w:val="none"/>
              </w:rPr>
              <w:t>投标（承诺函原件）</w:t>
            </w:r>
          </w:p>
        </w:tc>
        <w:tc>
          <w:tcPr>
            <w:tcW w:w="1843" w:type="dxa"/>
            <w:noWrap w:val="0"/>
            <w:vAlign w:val="center"/>
          </w:tcPr>
          <w:p w14:paraId="5EC1E7BD">
            <w:pPr>
              <w:ind w:firstLine="560"/>
              <w:jc w:val="center"/>
              <w:rPr>
                <w:rFonts w:eastAsia="仿宋_GB2312"/>
                <w:sz w:val="24"/>
                <w:szCs w:val="24"/>
                <w:highlight w:val="none"/>
              </w:rPr>
            </w:pPr>
          </w:p>
        </w:tc>
        <w:tc>
          <w:tcPr>
            <w:tcW w:w="2220" w:type="dxa"/>
            <w:noWrap w:val="0"/>
            <w:vAlign w:val="center"/>
          </w:tcPr>
          <w:p w14:paraId="49FADF65">
            <w:pPr>
              <w:ind w:firstLine="560"/>
              <w:jc w:val="center"/>
              <w:rPr>
                <w:rFonts w:eastAsia="仿宋_GB2312"/>
                <w:sz w:val="24"/>
                <w:szCs w:val="24"/>
                <w:highlight w:val="none"/>
              </w:rPr>
            </w:pPr>
          </w:p>
        </w:tc>
      </w:tr>
      <w:tr w14:paraId="3ABF9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47" w:type="dxa"/>
            <w:noWrap w:val="0"/>
            <w:vAlign w:val="center"/>
          </w:tcPr>
          <w:p w14:paraId="03D62FB5">
            <w:pPr>
              <w:spacing w:line="480" w:lineRule="exact"/>
              <w:jc w:val="center"/>
              <w:rPr>
                <w:rFonts w:hint="eastAsia"/>
                <w:sz w:val="24"/>
                <w:highlight w:val="none"/>
              </w:rPr>
            </w:pPr>
            <w:r>
              <w:rPr>
                <w:rFonts w:hint="eastAsia"/>
                <w:sz w:val="24"/>
                <w:highlight w:val="none"/>
              </w:rPr>
              <w:t>10</w:t>
            </w:r>
          </w:p>
        </w:tc>
        <w:tc>
          <w:tcPr>
            <w:tcW w:w="4820" w:type="dxa"/>
            <w:noWrap w:val="0"/>
            <w:vAlign w:val="center"/>
          </w:tcPr>
          <w:p w14:paraId="6B1BAF29">
            <w:pPr>
              <w:snapToGrid w:val="0"/>
              <w:spacing w:line="480" w:lineRule="exact"/>
              <w:rPr>
                <w:sz w:val="24"/>
                <w:highlight w:val="none"/>
              </w:rPr>
            </w:pPr>
            <w:r>
              <w:rPr>
                <w:rFonts w:hint="eastAsia"/>
                <w:sz w:val="24"/>
                <w:highlight w:val="none"/>
              </w:rPr>
              <w:t>本项目不接受进口产品参与投标（承诺函原件）</w:t>
            </w:r>
          </w:p>
        </w:tc>
        <w:tc>
          <w:tcPr>
            <w:tcW w:w="1843" w:type="dxa"/>
            <w:noWrap w:val="0"/>
            <w:vAlign w:val="center"/>
          </w:tcPr>
          <w:p w14:paraId="59C897F6">
            <w:pPr>
              <w:ind w:firstLine="560"/>
              <w:jc w:val="center"/>
              <w:rPr>
                <w:rFonts w:eastAsia="仿宋_GB2312"/>
                <w:sz w:val="24"/>
                <w:szCs w:val="24"/>
                <w:highlight w:val="none"/>
              </w:rPr>
            </w:pPr>
          </w:p>
        </w:tc>
        <w:tc>
          <w:tcPr>
            <w:tcW w:w="2220" w:type="dxa"/>
            <w:noWrap w:val="0"/>
            <w:vAlign w:val="center"/>
          </w:tcPr>
          <w:p w14:paraId="70C43305">
            <w:pPr>
              <w:ind w:firstLine="560"/>
              <w:jc w:val="center"/>
              <w:rPr>
                <w:rFonts w:eastAsia="仿宋_GB2312"/>
                <w:sz w:val="24"/>
                <w:szCs w:val="24"/>
                <w:highlight w:val="none"/>
              </w:rPr>
            </w:pPr>
          </w:p>
        </w:tc>
      </w:tr>
      <w:tr w14:paraId="408E8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47" w:type="dxa"/>
            <w:noWrap w:val="0"/>
            <w:vAlign w:val="center"/>
          </w:tcPr>
          <w:p w14:paraId="705C81BD">
            <w:pPr>
              <w:spacing w:line="480" w:lineRule="exact"/>
              <w:jc w:val="center"/>
              <w:rPr>
                <w:rFonts w:hint="eastAsia"/>
                <w:sz w:val="24"/>
                <w:highlight w:val="none"/>
              </w:rPr>
            </w:pPr>
            <w:r>
              <w:rPr>
                <w:rFonts w:hint="eastAsia"/>
                <w:sz w:val="24"/>
                <w:highlight w:val="none"/>
              </w:rPr>
              <w:t>11</w:t>
            </w:r>
          </w:p>
        </w:tc>
        <w:tc>
          <w:tcPr>
            <w:tcW w:w="4820" w:type="dxa"/>
            <w:noWrap w:val="0"/>
            <w:vAlign w:val="center"/>
          </w:tcPr>
          <w:p w14:paraId="14A81B90">
            <w:pPr>
              <w:snapToGrid w:val="0"/>
              <w:spacing w:line="480" w:lineRule="exact"/>
              <w:rPr>
                <w:rFonts w:hint="eastAsia"/>
                <w:sz w:val="24"/>
                <w:highlight w:val="none"/>
              </w:rPr>
            </w:pPr>
            <w:r>
              <w:rPr>
                <w:rFonts w:hint="eastAsia"/>
                <w:sz w:val="24"/>
                <w:szCs w:val="24"/>
                <w:highlight w:val="none"/>
              </w:rPr>
              <w:t>本项目专门面向中小微企业采购</w:t>
            </w:r>
            <w:r>
              <w:rPr>
                <w:rFonts w:hint="eastAsia"/>
                <w:sz w:val="24"/>
                <w:highlight w:val="none"/>
              </w:rPr>
              <w:t>（声明函原件或监狱企业证明材料复印件）</w:t>
            </w:r>
          </w:p>
        </w:tc>
        <w:tc>
          <w:tcPr>
            <w:tcW w:w="1843" w:type="dxa"/>
            <w:noWrap w:val="0"/>
            <w:vAlign w:val="center"/>
          </w:tcPr>
          <w:p w14:paraId="09D5C55F">
            <w:pPr>
              <w:ind w:firstLine="560"/>
              <w:jc w:val="center"/>
              <w:rPr>
                <w:rFonts w:eastAsia="仿宋_GB2312"/>
                <w:sz w:val="24"/>
                <w:szCs w:val="24"/>
                <w:highlight w:val="none"/>
              </w:rPr>
            </w:pPr>
          </w:p>
        </w:tc>
        <w:tc>
          <w:tcPr>
            <w:tcW w:w="2220" w:type="dxa"/>
            <w:noWrap w:val="0"/>
            <w:vAlign w:val="center"/>
          </w:tcPr>
          <w:p w14:paraId="344304F2">
            <w:pPr>
              <w:ind w:firstLine="560"/>
              <w:jc w:val="center"/>
              <w:rPr>
                <w:rFonts w:eastAsia="仿宋_GB2312"/>
                <w:sz w:val="24"/>
                <w:szCs w:val="24"/>
                <w:highlight w:val="none"/>
              </w:rPr>
            </w:pPr>
          </w:p>
        </w:tc>
      </w:tr>
    </w:tbl>
    <w:p w14:paraId="45861D24">
      <w:pPr>
        <w:snapToGrid w:val="0"/>
        <w:spacing w:before="50" w:after="156" w:afterLines="50" w:line="520" w:lineRule="exact"/>
        <w:jc w:val="left"/>
        <w:rPr>
          <w:rFonts w:hint="eastAsia"/>
          <w:sz w:val="24"/>
          <w:szCs w:val="24"/>
          <w:highlight w:val="none"/>
        </w:rPr>
      </w:pPr>
      <w:r>
        <w:rPr>
          <w:b/>
          <w:sz w:val="24"/>
          <w:highlight w:val="none"/>
        </w:rPr>
        <w:t>备注：1.</w:t>
      </w:r>
      <w:r>
        <w:rPr>
          <w:rFonts w:hint="eastAsia" w:ascii="宋体" w:hAnsi="宋体"/>
          <w:b/>
          <w:i/>
          <w:sz w:val="24"/>
          <w:szCs w:val="24"/>
          <w:highlight w:val="none"/>
          <w:u w:val="single"/>
        </w:rPr>
        <w:t xml:space="preserve"> 以上涉及到的资格证明文件(（除文件8）须清晰可见相关内容，并加盖公章，否则视为无效投标。</w:t>
      </w:r>
    </w:p>
    <w:p w14:paraId="2008B5C9">
      <w:pPr>
        <w:snapToGrid w:val="0"/>
        <w:spacing w:before="50" w:after="156" w:afterLines="50" w:line="520" w:lineRule="exact"/>
        <w:ind w:firstLine="720" w:firstLineChars="300"/>
        <w:jc w:val="left"/>
        <w:rPr>
          <w:sz w:val="24"/>
          <w:szCs w:val="24"/>
          <w:highlight w:val="none"/>
        </w:rPr>
      </w:pPr>
      <w:r>
        <w:rPr>
          <w:rFonts w:hint="eastAsia"/>
          <w:sz w:val="24"/>
          <w:szCs w:val="24"/>
          <w:highlight w:val="none"/>
        </w:rPr>
        <w:t>2．</w:t>
      </w:r>
      <w:r>
        <w:rPr>
          <w:sz w:val="24"/>
          <w:szCs w:val="24"/>
          <w:highlight w:val="none"/>
        </w:rPr>
        <w:t>上述是对供应商资格审查时，供应商必须提供的资格证明文件，如供应商未能提供上述资格证明文件以及供应商资质条件不符合</w:t>
      </w:r>
      <w:r>
        <w:rPr>
          <w:rFonts w:hint="eastAsia"/>
          <w:sz w:val="24"/>
          <w:szCs w:val="24"/>
          <w:highlight w:val="none"/>
        </w:rPr>
        <w:t>招标</w:t>
      </w:r>
      <w:r>
        <w:rPr>
          <w:sz w:val="24"/>
          <w:szCs w:val="24"/>
          <w:highlight w:val="none"/>
        </w:rPr>
        <w:t>文件要求的将取消其继续参加</w:t>
      </w:r>
      <w:r>
        <w:rPr>
          <w:rFonts w:hint="eastAsia"/>
          <w:sz w:val="24"/>
          <w:szCs w:val="24"/>
          <w:highlight w:val="none"/>
        </w:rPr>
        <w:t>投标</w:t>
      </w:r>
      <w:r>
        <w:rPr>
          <w:sz w:val="24"/>
          <w:szCs w:val="24"/>
          <w:highlight w:val="none"/>
        </w:rPr>
        <w:t>的资格。</w:t>
      </w:r>
    </w:p>
    <w:p w14:paraId="4B7AA618">
      <w:pPr>
        <w:spacing w:line="470" w:lineRule="exact"/>
        <w:ind w:firstLine="756" w:firstLineChars="315"/>
        <w:rPr>
          <w:sz w:val="24"/>
          <w:highlight w:val="none"/>
        </w:rPr>
      </w:pPr>
      <w:r>
        <w:rPr>
          <w:sz w:val="24"/>
          <w:szCs w:val="24"/>
          <w:highlight w:val="none"/>
        </w:rPr>
        <w:t>3.供应商所提供的资格证明材料应真实、有效，装备中心及采购人保留对供应商提供的资格证明材料进行核查的权利。如发现供应商提供虚假资格证明材料，一经查实作无效</w:t>
      </w:r>
      <w:r>
        <w:rPr>
          <w:rFonts w:hint="eastAsia"/>
          <w:sz w:val="24"/>
          <w:szCs w:val="24"/>
          <w:highlight w:val="none"/>
        </w:rPr>
        <w:t>投标</w:t>
      </w:r>
      <w:r>
        <w:rPr>
          <w:sz w:val="24"/>
          <w:szCs w:val="24"/>
          <w:highlight w:val="none"/>
        </w:rPr>
        <w:t>处理。</w:t>
      </w:r>
    </w:p>
    <w:p w14:paraId="72723420">
      <w:pPr>
        <w:spacing w:line="440" w:lineRule="exact"/>
        <w:jc w:val="center"/>
        <w:rPr>
          <w:highlight w:val="none"/>
        </w:rPr>
      </w:pPr>
    </w:p>
    <w:p w14:paraId="00C6153D">
      <w:pPr>
        <w:widowControl/>
        <w:jc w:val="left"/>
        <w:rPr>
          <w:highlight w:val="none"/>
        </w:rPr>
      </w:pPr>
    </w:p>
    <w:p w14:paraId="1B3CA07A">
      <w:pPr>
        <w:pStyle w:val="5"/>
        <w:spacing w:before="0" w:after="0" w:line="538" w:lineRule="exact"/>
        <w:ind w:firstLine="482" w:firstLineChars="150"/>
        <w:jc w:val="center"/>
        <w:rPr>
          <w:highlight w:val="none"/>
        </w:rPr>
      </w:pPr>
      <w:r>
        <w:rPr>
          <w:szCs w:val="24"/>
          <w:highlight w:val="none"/>
        </w:rPr>
        <w:br w:type="page"/>
      </w:r>
      <w:r>
        <w:rPr>
          <w:rFonts w:hint="eastAsia"/>
          <w:highlight w:val="none"/>
        </w:rPr>
        <w:t>符合性响应审查对照表</w:t>
      </w:r>
    </w:p>
    <w:p w14:paraId="69227B8E">
      <w:pPr>
        <w:ind w:firstLine="480" w:firstLineChars="200"/>
        <w:rPr>
          <w:sz w:val="24"/>
          <w:szCs w:val="24"/>
          <w:highlight w:val="none"/>
        </w:rPr>
      </w:pPr>
      <w:r>
        <w:rPr>
          <w:sz w:val="24"/>
          <w:szCs w:val="24"/>
          <w:highlight w:val="none"/>
        </w:rPr>
        <w:t xml:space="preserve">供应商全称（加盖公章）：                      </w:t>
      </w:r>
    </w:p>
    <w:p w14:paraId="62C4B7A4">
      <w:pPr>
        <w:ind w:firstLine="480" w:firstLineChars="200"/>
        <w:rPr>
          <w:sz w:val="24"/>
          <w:szCs w:val="24"/>
          <w:highlight w:val="none"/>
        </w:rPr>
      </w:pPr>
      <w:r>
        <w:rPr>
          <w:sz w:val="24"/>
          <w:szCs w:val="24"/>
          <w:highlight w:val="none"/>
        </w:rPr>
        <w:t>项目名称：</w:t>
      </w:r>
    </w:p>
    <w:tbl>
      <w:tblPr>
        <w:tblStyle w:val="37"/>
        <w:tblW w:w="96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4820"/>
        <w:gridCol w:w="1843"/>
        <w:gridCol w:w="2220"/>
      </w:tblGrid>
      <w:tr w14:paraId="2CCA2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747" w:type="dxa"/>
            <w:tcBorders>
              <w:top w:val="single" w:color="auto" w:sz="4" w:space="0"/>
              <w:left w:val="single" w:color="auto" w:sz="4" w:space="0"/>
              <w:bottom w:val="single" w:color="auto" w:sz="4" w:space="0"/>
              <w:right w:val="single" w:color="auto" w:sz="4" w:space="0"/>
            </w:tcBorders>
            <w:noWrap w:val="0"/>
            <w:vAlign w:val="center"/>
          </w:tcPr>
          <w:p w14:paraId="22DB632C">
            <w:pPr>
              <w:jc w:val="center"/>
              <w:rPr>
                <w:sz w:val="24"/>
                <w:szCs w:val="24"/>
                <w:highlight w:val="none"/>
              </w:rPr>
            </w:pPr>
            <w:r>
              <w:rPr>
                <w:sz w:val="24"/>
                <w:szCs w:val="24"/>
                <w:highlight w:val="none"/>
              </w:rPr>
              <w:t>序号</w:t>
            </w:r>
          </w:p>
        </w:tc>
        <w:tc>
          <w:tcPr>
            <w:tcW w:w="4820" w:type="dxa"/>
            <w:tcBorders>
              <w:top w:val="single" w:color="auto" w:sz="4" w:space="0"/>
              <w:left w:val="single" w:color="auto" w:sz="4" w:space="0"/>
              <w:bottom w:val="single" w:color="auto" w:sz="4" w:space="0"/>
              <w:right w:val="single" w:color="auto" w:sz="4" w:space="0"/>
            </w:tcBorders>
            <w:noWrap w:val="0"/>
            <w:vAlign w:val="center"/>
          </w:tcPr>
          <w:p w14:paraId="394BA6C3">
            <w:pPr>
              <w:jc w:val="center"/>
              <w:rPr>
                <w:sz w:val="24"/>
                <w:szCs w:val="24"/>
                <w:highlight w:val="none"/>
              </w:rPr>
            </w:pPr>
            <w:r>
              <w:rPr>
                <w:sz w:val="24"/>
                <w:szCs w:val="24"/>
                <w:highlight w:val="none"/>
              </w:rPr>
              <w:t>符合性响应</w:t>
            </w:r>
            <w:r>
              <w:rPr>
                <w:rFonts w:hint="eastAsia"/>
                <w:sz w:val="24"/>
                <w:szCs w:val="24"/>
                <w:highlight w:val="none"/>
              </w:rPr>
              <w:t>审</w:t>
            </w:r>
            <w:r>
              <w:rPr>
                <w:sz w:val="24"/>
                <w:szCs w:val="24"/>
                <w:highlight w:val="none"/>
              </w:rPr>
              <w:t>查内容</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17D154C9">
            <w:pPr>
              <w:jc w:val="center"/>
              <w:rPr>
                <w:sz w:val="24"/>
                <w:szCs w:val="24"/>
                <w:highlight w:val="none"/>
              </w:rPr>
            </w:pPr>
            <w:r>
              <w:rPr>
                <w:sz w:val="24"/>
                <w:szCs w:val="24"/>
                <w:highlight w:val="none"/>
              </w:rPr>
              <w:t>是否响应</w:t>
            </w:r>
          </w:p>
          <w:p w14:paraId="380E7B87">
            <w:pPr>
              <w:jc w:val="center"/>
              <w:rPr>
                <w:sz w:val="24"/>
                <w:szCs w:val="24"/>
                <w:highlight w:val="none"/>
              </w:rPr>
            </w:pPr>
            <w:r>
              <w:rPr>
                <w:sz w:val="24"/>
                <w:szCs w:val="24"/>
                <w:highlight w:val="none"/>
              </w:rPr>
              <w:t>（填是或者否）</w:t>
            </w:r>
          </w:p>
        </w:tc>
        <w:tc>
          <w:tcPr>
            <w:tcW w:w="2220" w:type="dxa"/>
            <w:tcBorders>
              <w:top w:val="single" w:color="auto" w:sz="4" w:space="0"/>
              <w:left w:val="single" w:color="auto" w:sz="4" w:space="0"/>
              <w:bottom w:val="single" w:color="auto" w:sz="4" w:space="0"/>
              <w:right w:val="single" w:color="auto" w:sz="4" w:space="0"/>
            </w:tcBorders>
            <w:noWrap w:val="0"/>
            <w:vAlign w:val="center"/>
          </w:tcPr>
          <w:p w14:paraId="3BEB3F11">
            <w:pPr>
              <w:jc w:val="center"/>
              <w:rPr>
                <w:sz w:val="24"/>
                <w:szCs w:val="24"/>
                <w:highlight w:val="none"/>
              </w:rPr>
            </w:pPr>
            <w:r>
              <w:rPr>
                <w:sz w:val="24"/>
                <w:szCs w:val="24"/>
                <w:highlight w:val="none"/>
              </w:rPr>
              <w:t>供应商制作的</w:t>
            </w:r>
            <w:r>
              <w:rPr>
                <w:rFonts w:hint="eastAsia"/>
                <w:sz w:val="24"/>
                <w:szCs w:val="24"/>
                <w:highlight w:val="none"/>
              </w:rPr>
              <w:t>投标</w:t>
            </w:r>
            <w:r>
              <w:rPr>
                <w:sz w:val="24"/>
                <w:szCs w:val="24"/>
                <w:highlight w:val="none"/>
              </w:rPr>
              <w:t>文件中的页码位置</w:t>
            </w:r>
          </w:p>
        </w:tc>
      </w:tr>
      <w:tr w14:paraId="44CEC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747" w:type="dxa"/>
            <w:noWrap w:val="0"/>
            <w:vAlign w:val="center"/>
          </w:tcPr>
          <w:p w14:paraId="5F4A16C5">
            <w:pPr>
              <w:spacing w:line="480" w:lineRule="exact"/>
              <w:jc w:val="center"/>
              <w:rPr>
                <w:sz w:val="24"/>
                <w:szCs w:val="24"/>
                <w:highlight w:val="none"/>
              </w:rPr>
            </w:pPr>
            <w:r>
              <w:rPr>
                <w:sz w:val="24"/>
                <w:szCs w:val="24"/>
                <w:highlight w:val="none"/>
              </w:rPr>
              <w:t>1</w:t>
            </w:r>
          </w:p>
        </w:tc>
        <w:tc>
          <w:tcPr>
            <w:tcW w:w="4820" w:type="dxa"/>
            <w:noWrap w:val="0"/>
            <w:vAlign w:val="center"/>
          </w:tcPr>
          <w:p w14:paraId="6B09C6E9">
            <w:pPr>
              <w:snapToGrid w:val="0"/>
              <w:spacing w:line="480" w:lineRule="exact"/>
              <w:rPr>
                <w:sz w:val="24"/>
                <w:szCs w:val="24"/>
                <w:highlight w:val="none"/>
              </w:rPr>
            </w:pPr>
            <w:r>
              <w:rPr>
                <w:sz w:val="24"/>
                <w:szCs w:val="24"/>
                <w:highlight w:val="none"/>
              </w:rPr>
              <w:t>投标报价是固定唯一的</w:t>
            </w:r>
          </w:p>
        </w:tc>
        <w:tc>
          <w:tcPr>
            <w:tcW w:w="1843" w:type="dxa"/>
            <w:noWrap w:val="0"/>
            <w:vAlign w:val="center"/>
          </w:tcPr>
          <w:p w14:paraId="07FBB1AF">
            <w:pPr>
              <w:ind w:firstLine="560"/>
              <w:jc w:val="center"/>
              <w:rPr>
                <w:rFonts w:eastAsia="仿宋_GB2312"/>
                <w:sz w:val="24"/>
                <w:szCs w:val="24"/>
                <w:highlight w:val="none"/>
              </w:rPr>
            </w:pPr>
          </w:p>
        </w:tc>
        <w:tc>
          <w:tcPr>
            <w:tcW w:w="2220" w:type="dxa"/>
            <w:noWrap w:val="0"/>
            <w:vAlign w:val="center"/>
          </w:tcPr>
          <w:p w14:paraId="383BF009">
            <w:pPr>
              <w:ind w:firstLine="560"/>
              <w:jc w:val="center"/>
              <w:rPr>
                <w:rFonts w:eastAsia="仿宋_GB2312"/>
                <w:sz w:val="24"/>
                <w:szCs w:val="24"/>
                <w:highlight w:val="none"/>
              </w:rPr>
            </w:pPr>
          </w:p>
        </w:tc>
      </w:tr>
      <w:tr w14:paraId="688F2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747" w:type="dxa"/>
            <w:noWrap w:val="0"/>
            <w:vAlign w:val="center"/>
          </w:tcPr>
          <w:p w14:paraId="242742FE">
            <w:pPr>
              <w:snapToGrid w:val="0"/>
              <w:spacing w:line="480" w:lineRule="exact"/>
              <w:jc w:val="center"/>
              <w:rPr>
                <w:sz w:val="24"/>
                <w:szCs w:val="24"/>
                <w:highlight w:val="none"/>
              </w:rPr>
            </w:pPr>
            <w:r>
              <w:rPr>
                <w:sz w:val="24"/>
                <w:szCs w:val="24"/>
                <w:highlight w:val="none"/>
              </w:rPr>
              <w:t>2</w:t>
            </w:r>
          </w:p>
        </w:tc>
        <w:tc>
          <w:tcPr>
            <w:tcW w:w="4820" w:type="dxa"/>
            <w:noWrap w:val="0"/>
            <w:vAlign w:val="center"/>
          </w:tcPr>
          <w:p w14:paraId="41F84078">
            <w:pPr>
              <w:snapToGrid w:val="0"/>
              <w:spacing w:line="480" w:lineRule="exact"/>
              <w:rPr>
                <w:sz w:val="24"/>
                <w:szCs w:val="24"/>
                <w:highlight w:val="none"/>
              </w:rPr>
            </w:pPr>
            <w:r>
              <w:rPr>
                <w:sz w:val="24"/>
                <w:szCs w:val="24"/>
                <w:highlight w:val="none"/>
              </w:rPr>
              <w:t>投标报价不超过采购预算（最高限价）</w:t>
            </w:r>
          </w:p>
        </w:tc>
        <w:tc>
          <w:tcPr>
            <w:tcW w:w="1843" w:type="dxa"/>
            <w:noWrap w:val="0"/>
            <w:vAlign w:val="center"/>
          </w:tcPr>
          <w:p w14:paraId="0F32EF2C">
            <w:pPr>
              <w:ind w:firstLine="560"/>
              <w:jc w:val="center"/>
              <w:rPr>
                <w:rFonts w:eastAsia="仿宋_GB2312"/>
                <w:sz w:val="24"/>
                <w:szCs w:val="24"/>
                <w:highlight w:val="none"/>
              </w:rPr>
            </w:pPr>
          </w:p>
        </w:tc>
        <w:tc>
          <w:tcPr>
            <w:tcW w:w="2220" w:type="dxa"/>
            <w:noWrap w:val="0"/>
            <w:vAlign w:val="center"/>
          </w:tcPr>
          <w:p w14:paraId="7B89B36A">
            <w:pPr>
              <w:ind w:firstLine="560"/>
              <w:jc w:val="center"/>
              <w:rPr>
                <w:rFonts w:eastAsia="仿宋_GB2312"/>
                <w:sz w:val="24"/>
                <w:szCs w:val="24"/>
                <w:highlight w:val="none"/>
              </w:rPr>
            </w:pPr>
          </w:p>
        </w:tc>
      </w:tr>
      <w:tr w14:paraId="091BD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747" w:type="dxa"/>
            <w:noWrap w:val="0"/>
            <w:vAlign w:val="center"/>
          </w:tcPr>
          <w:p w14:paraId="362324DB">
            <w:pPr>
              <w:snapToGrid w:val="0"/>
              <w:spacing w:line="480" w:lineRule="exact"/>
              <w:jc w:val="center"/>
              <w:rPr>
                <w:sz w:val="24"/>
                <w:szCs w:val="24"/>
                <w:highlight w:val="none"/>
              </w:rPr>
            </w:pPr>
            <w:r>
              <w:rPr>
                <w:sz w:val="24"/>
                <w:szCs w:val="24"/>
                <w:highlight w:val="none"/>
              </w:rPr>
              <w:t>3</w:t>
            </w:r>
          </w:p>
        </w:tc>
        <w:tc>
          <w:tcPr>
            <w:tcW w:w="4820" w:type="dxa"/>
            <w:noWrap w:val="0"/>
            <w:vAlign w:val="center"/>
          </w:tcPr>
          <w:p w14:paraId="50F4E710">
            <w:pPr>
              <w:snapToGrid w:val="0"/>
              <w:spacing w:line="480" w:lineRule="exact"/>
              <w:rPr>
                <w:sz w:val="24"/>
                <w:szCs w:val="24"/>
                <w:highlight w:val="none"/>
              </w:rPr>
            </w:pPr>
            <w:r>
              <w:rPr>
                <w:sz w:val="24"/>
                <w:szCs w:val="24"/>
                <w:highlight w:val="none"/>
              </w:rPr>
              <w:t>投标有效期为</w:t>
            </w:r>
            <w:r>
              <w:rPr>
                <w:bCs/>
                <w:sz w:val="24"/>
                <w:highlight w:val="none"/>
              </w:rPr>
              <w:t>开标之日后</w:t>
            </w:r>
            <w:r>
              <w:rPr>
                <w:sz w:val="24"/>
                <w:szCs w:val="24"/>
                <w:highlight w:val="none"/>
              </w:rPr>
              <w:t>60天</w:t>
            </w:r>
          </w:p>
        </w:tc>
        <w:tc>
          <w:tcPr>
            <w:tcW w:w="1843" w:type="dxa"/>
            <w:noWrap w:val="0"/>
            <w:vAlign w:val="center"/>
          </w:tcPr>
          <w:p w14:paraId="7E4B5A50">
            <w:pPr>
              <w:ind w:firstLine="560"/>
              <w:jc w:val="center"/>
              <w:rPr>
                <w:rFonts w:eastAsia="仿宋_GB2312"/>
                <w:sz w:val="24"/>
                <w:szCs w:val="24"/>
                <w:highlight w:val="none"/>
              </w:rPr>
            </w:pPr>
          </w:p>
        </w:tc>
        <w:tc>
          <w:tcPr>
            <w:tcW w:w="2220" w:type="dxa"/>
            <w:noWrap w:val="0"/>
            <w:vAlign w:val="center"/>
          </w:tcPr>
          <w:p w14:paraId="70BF7949">
            <w:pPr>
              <w:ind w:firstLine="560"/>
              <w:jc w:val="center"/>
              <w:rPr>
                <w:rFonts w:eastAsia="仿宋_GB2312"/>
                <w:sz w:val="24"/>
                <w:szCs w:val="24"/>
                <w:highlight w:val="none"/>
              </w:rPr>
            </w:pPr>
          </w:p>
        </w:tc>
      </w:tr>
      <w:tr w14:paraId="1A033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3CE4B4B7">
            <w:pPr>
              <w:snapToGrid w:val="0"/>
              <w:spacing w:line="480" w:lineRule="exact"/>
              <w:jc w:val="center"/>
              <w:rPr>
                <w:sz w:val="24"/>
                <w:szCs w:val="24"/>
                <w:highlight w:val="none"/>
              </w:rPr>
            </w:pPr>
            <w:r>
              <w:rPr>
                <w:rFonts w:hint="eastAsia"/>
                <w:sz w:val="24"/>
                <w:szCs w:val="24"/>
                <w:highlight w:val="none"/>
              </w:rPr>
              <w:t>4</w:t>
            </w:r>
          </w:p>
        </w:tc>
        <w:tc>
          <w:tcPr>
            <w:tcW w:w="4820" w:type="dxa"/>
            <w:noWrap w:val="0"/>
            <w:vAlign w:val="center"/>
          </w:tcPr>
          <w:p w14:paraId="51D0B0A6">
            <w:pPr>
              <w:snapToGrid w:val="0"/>
              <w:spacing w:line="480" w:lineRule="exact"/>
              <w:rPr>
                <w:sz w:val="24"/>
                <w:szCs w:val="24"/>
                <w:highlight w:val="none"/>
              </w:rPr>
            </w:pPr>
            <w:r>
              <w:rPr>
                <w:sz w:val="24"/>
                <w:szCs w:val="24"/>
                <w:highlight w:val="none"/>
              </w:rPr>
              <w:t>投标文件内容基本完整，无重大错漏，并按要求签署、盖章</w:t>
            </w:r>
          </w:p>
        </w:tc>
        <w:tc>
          <w:tcPr>
            <w:tcW w:w="1843" w:type="dxa"/>
            <w:noWrap w:val="0"/>
            <w:vAlign w:val="center"/>
          </w:tcPr>
          <w:p w14:paraId="285E6B5A">
            <w:pPr>
              <w:ind w:firstLine="560"/>
              <w:jc w:val="center"/>
              <w:rPr>
                <w:rFonts w:eastAsia="仿宋_GB2312"/>
                <w:sz w:val="24"/>
                <w:szCs w:val="24"/>
                <w:highlight w:val="none"/>
              </w:rPr>
            </w:pPr>
          </w:p>
        </w:tc>
        <w:tc>
          <w:tcPr>
            <w:tcW w:w="2220" w:type="dxa"/>
            <w:noWrap w:val="0"/>
            <w:vAlign w:val="center"/>
          </w:tcPr>
          <w:p w14:paraId="522E5118">
            <w:pPr>
              <w:ind w:firstLine="560"/>
              <w:jc w:val="center"/>
              <w:rPr>
                <w:rFonts w:eastAsia="仿宋_GB2312"/>
                <w:sz w:val="24"/>
                <w:szCs w:val="24"/>
                <w:highlight w:val="none"/>
              </w:rPr>
            </w:pPr>
          </w:p>
        </w:tc>
      </w:tr>
      <w:tr w14:paraId="42D20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3C2856F0">
            <w:pPr>
              <w:snapToGrid w:val="0"/>
              <w:spacing w:line="480" w:lineRule="exact"/>
              <w:jc w:val="center"/>
              <w:rPr>
                <w:sz w:val="24"/>
                <w:szCs w:val="24"/>
                <w:highlight w:val="none"/>
              </w:rPr>
            </w:pPr>
            <w:r>
              <w:rPr>
                <w:rFonts w:hint="eastAsia"/>
                <w:sz w:val="24"/>
                <w:szCs w:val="24"/>
                <w:highlight w:val="none"/>
              </w:rPr>
              <w:t>5</w:t>
            </w:r>
          </w:p>
        </w:tc>
        <w:tc>
          <w:tcPr>
            <w:tcW w:w="4820" w:type="dxa"/>
            <w:noWrap w:val="0"/>
            <w:vAlign w:val="center"/>
          </w:tcPr>
          <w:p w14:paraId="72C05B20">
            <w:pPr>
              <w:snapToGrid w:val="0"/>
              <w:spacing w:line="480" w:lineRule="exact"/>
              <w:rPr>
                <w:sz w:val="24"/>
                <w:szCs w:val="24"/>
                <w:highlight w:val="none"/>
              </w:rPr>
            </w:pPr>
            <w:r>
              <w:rPr>
                <w:sz w:val="24"/>
                <w:szCs w:val="24"/>
                <w:highlight w:val="none"/>
              </w:rPr>
              <w:t>法定代表人/负责人资格证明书或授权委托书，按对应格式文件签署、盖章，真实有效</w:t>
            </w:r>
          </w:p>
        </w:tc>
        <w:tc>
          <w:tcPr>
            <w:tcW w:w="1843" w:type="dxa"/>
            <w:noWrap w:val="0"/>
            <w:vAlign w:val="center"/>
          </w:tcPr>
          <w:p w14:paraId="3836D696">
            <w:pPr>
              <w:ind w:firstLine="560"/>
              <w:jc w:val="center"/>
              <w:rPr>
                <w:rFonts w:eastAsia="仿宋_GB2312"/>
                <w:sz w:val="24"/>
                <w:szCs w:val="24"/>
                <w:highlight w:val="none"/>
              </w:rPr>
            </w:pPr>
          </w:p>
        </w:tc>
        <w:tc>
          <w:tcPr>
            <w:tcW w:w="2220" w:type="dxa"/>
            <w:noWrap w:val="0"/>
            <w:vAlign w:val="center"/>
          </w:tcPr>
          <w:p w14:paraId="258A37FC">
            <w:pPr>
              <w:ind w:firstLine="560"/>
              <w:jc w:val="center"/>
              <w:rPr>
                <w:rFonts w:eastAsia="仿宋_GB2312"/>
                <w:sz w:val="24"/>
                <w:szCs w:val="24"/>
                <w:highlight w:val="none"/>
              </w:rPr>
            </w:pPr>
          </w:p>
        </w:tc>
      </w:tr>
      <w:tr w14:paraId="33879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28F55757">
            <w:pPr>
              <w:snapToGrid w:val="0"/>
              <w:spacing w:line="480" w:lineRule="exact"/>
              <w:jc w:val="center"/>
              <w:rPr>
                <w:sz w:val="24"/>
                <w:szCs w:val="24"/>
                <w:highlight w:val="none"/>
              </w:rPr>
            </w:pPr>
            <w:r>
              <w:rPr>
                <w:rFonts w:hint="eastAsia"/>
                <w:sz w:val="24"/>
                <w:szCs w:val="24"/>
                <w:highlight w:val="none"/>
              </w:rPr>
              <w:t>6</w:t>
            </w:r>
          </w:p>
        </w:tc>
        <w:tc>
          <w:tcPr>
            <w:tcW w:w="4820" w:type="dxa"/>
            <w:noWrap w:val="0"/>
            <w:vAlign w:val="center"/>
          </w:tcPr>
          <w:p w14:paraId="06612E35">
            <w:pPr>
              <w:snapToGrid w:val="0"/>
              <w:spacing w:line="480" w:lineRule="exact"/>
              <w:rPr>
                <w:sz w:val="24"/>
                <w:szCs w:val="24"/>
                <w:highlight w:val="none"/>
              </w:rPr>
            </w:pPr>
            <w:r>
              <w:rPr>
                <w:sz w:val="24"/>
                <w:szCs w:val="24"/>
                <w:highlight w:val="none"/>
              </w:rPr>
              <w:t>投标文件实质性响应招标文件技术和商务条款要求（</w:t>
            </w:r>
            <w:r>
              <w:rPr>
                <w:bCs/>
                <w:i/>
                <w:sz w:val="24"/>
                <w:highlight w:val="none"/>
                <w:u w:val="single"/>
              </w:rPr>
              <w:t>本招标文件中斜体且有下划线部分为实质性要求和条件</w:t>
            </w:r>
            <w:r>
              <w:rPr>
                <w:sz w:val="24"/>
                <w:szCs w:val="24"/>
                <w:highlight w:val="none"/>
              </w:rPr>
              <w:t>）</w:t>
            </w:r>
          </w:p>
        </w:tc>
        <w:tc>
          <w:tcPr>
            <w:tcW w:w="1843" w:type="dxa"/>
            <w:noWrap w:val="0"/>
            <w:vAlign w:val="center"/>
          </w:tcPr>
          <w:p w14:paraId="14F2BF99">
            <w:pPr>
              <w:ind w:firstLine="560"/>
              <w:jc w:val="center"/>
              <w:rPr>
                <w:rFonts w:eastAsia="仿宋_GB2312"/>
                <w:sz w:val="24"/>
                <w:szCs w:val="24"/>
                <w:highlight w:val="none"/>
              </w:rPr>
            </w:pPr>
          </w:p>
        </w:tc>
        <w:tc>
          <w:tcPr>
            <w:tcW w:w="2220" w:type="dxa"/>
            <w:noWrap w:val="0"/>
            <w:vAlign w:val="center"/>
          </w:tcPr>
          <w:p w14:paraId="0DDD4195">
            <w:pPr>
              <w:ind w:firstLine="560"/>
              <w:jc w:val="center"/>
              <w:rPr>
                <w:rFonts w:eastAsia="仿宋_GB2312"/>
                <w:sz w:val="24"/>
                <w:szCs w:val="24"/>
                <w:highlight w:val="none"/>
              </w:rPr>
            </w:pPr>
          </w:p>
        </w:tc>
      </w:tr>
      <w:tr w14:paraId="6982E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70C35E0C">
            <w:pPr>
              <w:snapToGrid w:val="0"/>
              <w:spacing w:line="480" w:lineRule="exact"/>
              <w:jc w:val="center"/>
              <w:rPr>
                <w:sz w:val="24"/>
                <w:szCs w:val="24"/>
                <w:highlight w:val="none"/>
              </w:rPr>
            </w:pPr>
            <w:r>
              <w:rPr>
                <w:rFonts w:hint="eastAsia"/>
                <w:sz w:val="24"/>
                <w:szCs w:val="24"/>
                <w:highlight w:val="none"/>
              </w:rPr>
              <w:t>7</w:t>
            </w:r>
          </w:p>
        </w:tc>
        <w:tc>
          <w:tcPr>
            <w:tcW w:w="4820" w:type="dxa"/>
            <w:noWrap w:val="0"/>
            <w:vAlign w:val="center"/>
          </w:tcPr>
          <w:p w14:paraId="7330DF39">
            <w:pPr>
              <w:snapToGrid w:val="0"/>
              <w:spacing w:line="480" w:lineRule="exact"/>
              <w:rPr>
                <w:sz w:val="24"/>
                <w:szCs w:val="24"/>
                <w:highlight w:val="none"/>
              </w:rPr>
            </w:pPr>
            <w:r>
              <w:rPr>
                <w:sz w:val="24"/>
                <w:szCs w:val="24"/>
                <w:highlight w:val="none"/>
              </w:rPr>
              <w:t>无招标文件中规定的被视为无效响应的其它条款</w:t>
            </w:r>
          </w:p>
        </w:tc>
        <w:tc>
          <w:tcPr>
            <w:tcW w:w="1843" w:type="dxa"/>
            <w:noWrap w:val="0"/>
            <w:vAlign w:val="center"/>
          </w:tcPr>
          <w:p w14:paraId="4E238F76">
            <w:pPr>
              <w:ind w:firstLine="560"/>
              <w:jc w:val="center"/>
              <w:rPr>
                <w:rFonts w:eastAsia="仿宋_GB2312"/>
                <w:sz w:val="24"/>
                <w:szCs w:val="24"/>
                <w:highlight w:val="none"/>
              </w:rPr>
            </w:pPr>
          </w:p>
        </w:tc>
        <w:tc>
          <w:tcPr>
            <w:tcW w:w="2220" w:type="dxa"/>
            <w:noWrap w:val="0"/>
            <w:vAlign w:val="center"/>
          </w:tcPr>
          <w:p w14:paraId="3F54D1B3">
            <w:pPr>
              <w:ind w:firstLine="560"/>
              <w:jc w:val="center"/>
              <w:rPr>
                <w:rFonts w:eastAsia="仿宋_GB2312"/>
                <w:sz w:val="24"/>
                <w:szCs w:val="24"/>
                <w:highlight w:val="none"/>
              </w:rPr>
            </w:pPr>
          </w:p>
        </w:tc>
      </w:tr>
      <w:tr w14:paraId="489DE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747" w:type="dxa"/>
            <w:noWrap w:val="0"/>
            <w:vAlign w:val="center"/>
          </w:tcPr>
          <w:p w14:paraId="2ECE9AAB">
            <w:pPr>
              <w:snapToGrid w:val="0"/>
              <w:spacing w:line="480" w:lineRule="exact"/>
              <w:jc w:val="center"/>
              <w:rPr>
                <w:sz w:val="24"/>
                <w:szCs w:val="24"/>
                <w:highlight w:val="none"/>
              </w:rPr>
            </w:pPr>
            <w:r>
              <w:rPr>
                <w:rFonts w:hint="eastAsia"/>
                <w:sz w:val="24"/>
                <w:szCs w:val="24"/>
                <w:highlight w:val="none"/>
              </w:rPr>
              <w:t>8</w:t>
            </w:r>
          </w:p>
        </w:tc>
        <w:tc>
          <w:tcPr>
            <w:tcW w:w="4820" w:type="dxa"/>
            <w:noWrap w:val="0"/>
            <w:vAlign w:val="center"/>
          </w:tcPr>
          <w:p w14:paraId="32C79857">
            <w:pPr>
              <w:snapToGrid w:val="0"/>
              <w:spacing w:line="480" w:lineRule="exact"/>
              <w:rPr>
                <w:sz w:val="24"/>
                <w:szCs w:val="24"/>
                <w:highlight w:val="none"/>
              </w:rPr>
            </w:pPr>
            <w:r>
              <w:rPr>
                <w:sz w:val="24"/>
                <w:szCs w:val="24"/>
                <w:highlight w:val="none"/>
              </w:rPr>
              <w:t>投标文件未含有采购人不能接受的附加条件</w:t>
            </w:r>
          </w:p>
        </w:tc>
        <w:tc>
          <w:tcPr>
            <w:tcW w:w="1843" w:type="dxa"/>
            <w:noWrap w:val="0"/>
            <w:vAlign w:val="center"/>
          </w:tcPr>
          <w:p w14:paraId="5CDB8EBD">
            <w:pPr>
              <w:ind w:firstLine="560"/>
              <w:jc w:val="center"/>
              <w:rPr>
                <w:rFonts w:eastAsia="仿宋_GB2312"/>
                <w:sz w:val="24"/>
                <w:szCs w:val="24"/>
                <w:highlight w:val="none"/>
              </w:rPr>
            </w:pPr>
          </w:p>
        </w:tc>
        <w:tc>
          <w:tcPr>
            <w:tcW w:w="2220" w:type="dxa"/>
            <w:noWrap w:val="0"/>
            <w:vAlign w:val="center"/>
          </w:tcPr>
          <w:p w14:paraId="009D2EB1">
            <w:pPr>
              <w:ind w:firstLine="560"/>
              <w:jc w:val="center"/>
              <w:rPr>
                <w:rFonts w:eastAsia="仿宋_GB2312"/>
                <w:sz w:val="24"/>
                <w:szCs w:val="24"/>
                <w:highlight w:val="none"/>
              </w:rPr>
            </w:pPr>
          </w:p>
        </w:tc>
      </w:tr>
      <w:tr w14:paraId="162C6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747" w:type="dxa"/>
            <w:noWrap w:val="0"/>
            <w:vAlign w:val="center"/>
          </w:tcPr>
          <w:p w14:paraId="75572746">
            <w:pPr>
              <w:snapToGrid w:val="0"/>
              <w:spacing w:line="480" w:lineRule="exact"/>
              <w:jc w:val="center"/>
              <w:rPr>
                <w:sz w:val="24"/>
                <w:szCs w:val="24"/>
                <w:highlight w:val="none"/>
              </w:rPr>
            </w:pPr>
            <w:r>
              <w:rPr>
                <w:rFonts w:hint="eastAsia"/>
                <w:sz w:val="24"/>
                <w:szCs w:val="24"/>
                <w:highlight w:val="none"/>
              </w:rPr>
              <w:t>9</w:t>
            </w:r>
          </w:p>
        </w:tc>
        <w:tc>
          <w:tcPr>
            <w:tcW w:w="4820" w:type="dxa"/>
            <w:noWrap w:val="0"/>
            <w:vAlign w:val="center"/>
          </w:tcPr>
          <w:p w14:paraId="46BD77B5">
            <w:pPr>
              <w:snapToGrid w:val="0"/>
              <w:spacing w:line="480" w:lineRule="exact"/>
              <w:rPr>
                <w:sz w:val="24"/>
                <w:szCs w:val="24"/>
                <w:highlight w:val="none"/>
              </w:rPr>
            </w:pPr>
            <w:r>
              <w:rPr>
                <w:sz w:val="24"/>
                <w:szCs w:val="24"/>
                <w:highlight w:val="none"/>
              </w:rPr>
              <w:t>符合法律、法规规定的其他实质性要求</w:t>
            </w:r>
          </w:p>
        </w:tc>
        <w:tc>
          <w:tcPr>
            <w:tcW w:w="1843" w:type="dxa"/>
            <w:noWrap w:val="0"/>
            <w:vAlign w:val="center"/>
          </w:tcPr>
          <w:p w14:paraId="16F93CE6">
            <w:pPr>
              <w:ind w:firstLine="560"/>
              <w:jc w:val="center"/>
              <w:rPr>
                <w:rFonts w:eastAsia="仿宋_GB2312"/>
                <w:sz w:val="24"/>
                <w:szCs w:val="24"/>
                <w:highlight w:val="none"/>
              </w:rPr>
            </w:pPr>
          </w:p>
        </w:tc>
        <w:tc>
          <w:tcPr>
            <w:tcW w:w="2220" w:type="dxa"/>
            <w:noWrap w:val="0"/>
            <w:vAlign w:val="center"/>
          </w:tcPr>
          <w:p w14:paraId="69B5F2AF">
            <w:pPr>
              <w:ind w:firstLine="560"/>
              <w:jc w:val="center"/>
              <w:rPr>
                <w:rFonts w:eastAsia="仿宋_GB2312"/>
                <w:sz w:val="24"/>
                <w:szCs w:val="24"/>
                <w:highlight w:val="none"/>
              </w:rPr>
            </w:pPr>
          </w:p>
        </w:tc>
      </w:tr>
    </w:tbl>
    <w:p w14:paraId="4434273B">
      <w:pPr>
        <w:pStyle w:val="5"/>
        <w:spacing w:before="0" w:after="0" w:line="538" w:lineRule="exact"/>
        <w:ind w:firstLine="482" w:firstLineChars="150"/>
        <w:jc w:val="center"/>
        <w:rPr>
          <w:highlight w:val="none"/>
        </w:rPr>
      </w:pPr>
      <w:r>
        <w:rPr>
          <w:highlight w:val="none"/>
        </w:rPr>
        <w:br w:type="page"/>
      </w:r>
      <w:r>
        <w:rPr>
          <w:highlight w:val="none"/>
        </w:rPr>
        <w:t>评分索引表</w:t>
      </w:r>
    </w:p>
    <w:tbl>
      <w:tblPr>
        <w:tblStyle w:val="37"/>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61"/>
        <w:gridCol w:w="3118"/>
        <w:gridCol w:w="2977"/>
      </w:tblGrid>
      <w:tr w14:paraId="1E82D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3261" w:type="dxa"/>
            <w:noWrap w:val="0"/>
            <w:vAlign w:val="center"/>
          </w:tcPr>
          <w:p w14:paraId="5219790D">
            <w:pPr>
              <w:jc w:val="center"/>
              <w:rPr>
                <w:b/>
                <w:sz w:val="24"/>
                <w:highlight w:val="none"/>
                <w:lang w:bidi="en-US"/>
              </w:rPr>
            </w:pPr>
            <w:r>
              <w:rPr>
                <w:b/>
                <w:sz w:val="24"/>
                <w:highlight w:val="none"/>
                <w:lang w:bidi="en-US"/>
              </w:rPr>
              <w:t>评</w:t>
            </w:r>
            <w:r>
              <w:rPr>
                <w:rFonts w:hint="eastAsia"/>
                <w:b/>
                <w:sz w:val="24"/>
                <w:highlight w:val="none"/>
                <w:lang w:bidi="en-US"/>
              </w:rPr>
              <w:t>审</w:t>
            </w:r>
            <w:r>
              <w:rPr>
                <w:b/>
                <w:sz w:val="24"/>
                <w:highlight w:val="none"/>
                <w:lang w:bidi="en-US"/>
              </w:rPr>
              <w:t>项目</w:t>
            </w:r>
          </w:p>
        </w:tc>
        <w:tc>
          <w:tcPr>
            <w:tcW w:w="3118" w:type="dxa"/>
            <w:noWrap w:val="0"/>
            <w:vAlign w:val="center"/>
          </w:tcPr>
          <w:p w14:paraId="32C86EC1">
            <w:pPr>
              <w:jc w:val="center"/>
              <w:rPr>
                <w:b/>
                <w:sz w:val="24"/>
                <w:highlight w:val="none"/>
                <w:lang w:bidi="en-US"/>
              </w:rPr>
            </w:pPr>
            <w:r>
              <w:rPr>
                <w:rFonts w:hint="eastAsia"/>
                <w:b/>
                <w:sz w:val="24"/>
                <w:highlight w:val="none"/>
                <w:lang w:bidi="en-US"/>
              </w:rPr>
              <w:t>响应情况</w:t>
            </w:r>
          </w:p>
        </w:tc>
        <w:tc>
          <w:tcPr>
            <w:tcW w:w="2977" w:type="dxa"/>
            <w:noWrap w:val="0"/>
            <w:vAlign w:val="center"/>
          </w:tcPr>
          <w:p w14:paraId="2F4C6D09">
            <w:pPr>
              <w:jc w:val="center"/>
              <w:rPr>
                <w:b/>
                <w:sz w:val="24"/>
                <w:highlight w:val="none"/>
                <w:lang w:bidi="en-US"/>
              </w:rPr>
            </w:pPr>
            <w:r>
              <w:rPr>
                <w:b/>
                <w:sz w:val="24"/>
                <w:highlight w:val="none"/>
                <w:lang w:bidi="en-US"/>
              </w:rPr>
              <w:t>供应商制作的</w:t>
            </w:r>
            <w:r>
              <w:rPr>
                <w:rFonts w:hint="eastAsia"/>
                <w:b/>
                <w:sz w:val="24"/>
                <w:highlight w:val="none"/>
                <w:lang w:bidi="en-US"/>
              </w:rPr>
              <w:t>投标</w:t>
            </w:r>
            <w:r>
              <w:rPr>
                <w:b/>
                <w:sz w:val="24"/>
                <w:highlight w:val="none"/>
                <w:lang w:bidi="en-US"/>
              </w:rPr>
              <w:t>文件中的页码位置</w:t>
            </w:r>
          </w:p>
        </w:tc>
      </w:tr>
      <w:tr w14:paraId="632D8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3261" w:type="dxa"/>
            <w:noWrap w:val="0"/>
            <w:vAlign w:val="center"/>
          </w:tcPr>
          <w:p w14:paraId="122A986D">
            <w:pPr>
              <w:rPr>
                <w:highlight w:val="none"/>
              </w:rPr>
            </w:pPr>
          </w:p>
        </w:tc>
        <w:tc>
          <w:tcPr>
            <w:tcW w:w="3118" w:type="dxa"/>
            <w:noWrap w:val="0"/>
            <w:vAlign w:val="top"/>
          </w:tcPr>
          <w:p w14:paraId="7762A5D6">
            <w:pPr>
              <w:rPr>
                <w:sz w:val="20"/>
                <w:highlight w:val="none"/>
                <w:lang w:bidi="en-US"/>
              </w:rPr>
            </w:pPr>
          </w:p>
        </w:tc>
        <w:tc>
          <w:tcPr>
            <w:tcW w:w="2977" w:type="dxa"/>
            <w:noWrap w:val="0"/>
            <w:vAlign w:val="center"/>
          </w:tcPr>
          <w:p w14:paraId="4A5E8DA4">
            <w:pPr>
              <w:rPr>
                <w:sz w:val="20"/>
                <w:highlight w:val="none"/>
                <w:lang w:bidi="en-US"/>
              </w:rPr>
            </w:pPr>
          </w:p>
        </w:tc>
      </w:tr>
      <w:tr w14:paraId="4030A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3261" w:type="dxa"/>
            <w:noWrap w:val="0"/>
            <w:vAlign w:val="center"/>
          </w:tcPr>
          <w:p w14:paraId="5F0380EF">
            <w:pPr>
              <w:rPr>
                <w:highlight w:val="none"/>
              </w:rPr>
            </w:pPr>
          </w:p>
        </w:tc>
        <w:tc>
          <w:tcPr>
            <w:tcW w:w="3118" w:type="dxa"/>
            <w:noWrap w:val="0"/>
            <w:vAlign w:val="top"/>
          </w:tcPr>
          <w:p w14:paraId="3EA5263B">
            <w:pPr>
              <w:rPr>
                <w:highlight w:val="none"/>
              </w:rPr>
            </w:pPr>
          </w:p>
        </w:tc>
        <w:tc>
          <w:tcPr>
            <w:tcW w:w="2977" w:type="dxa"/>
            <w:noWrap w:val="0"/>
            <w:vAlign w:val="center"/>
          </w:tcPr>
          <w:p w14:paraId="77BB8606">
            <w:pPr>
              <w:rPr>
                <w:highlight w:val="none"/>
              </w:rPr>
            </w:pPr>
          </w:p>
        </w:tc>
      </w:tr>
      <w:tr w14:paraId="2A73C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3261" w:type="dxa"/>
            <w:noWrap w:val="0"/>
            <w:vAlign w:val="center"/>
          </w:tcPr>
          <w:p w14:paraId="0790A665">
            <w:pPr>
              <w:rPr>
                <w:highlight w:val="none"/>
              </w:rPr>
            </w:pPr>
          </w:p>
        </w:tc>
        <w:tc>
          <w:tcPr>
            <w:tcW w:w="3118" w:type="dxa"/>
            <w:noWrap w:val="0"/>
            <w:vAlign w:val="top"/>
          </w:tcPr>
          <w:p w14:paraId="5D638086">
            <w:pPr>
              <w:rPr>
                <w:highlight w:val="none"/>
              </w:rPr>
            </w:pPr>
          </w:p>
        </w:tc>
        <w:tc>
          <w:tcPr>
            <w:tcW w:w="2977" w:type="dxa"/>
            <w:noWrap w:val="0"/>
            <w:vAlign w:val="center"/>
          </w:tcPr>
          <w:p w14:paraId="2AF4F8D1">
            <w:pPr>
              <w:rPr>
                <w:highlight w:val="none"/>
              </w:rPr>
            </w:pPr>
          </w:p>
        </w:tc>
      </w:tr>
      <w:tr w14:paraId="65FBC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3261" w:type="dxa"/>
            <w:noWrap w:val="0"/>
            <w:vAlign w:val="center"/>
          </w:tcPr>
          <w:p w14:paraId="3D83A2AE">
            <w:pPr>
              <w:rPr>
                <w:highlight w:val="none"/>
              </w:rPr>
            </w:pPr>
          </w:p>
        </w:tc>
        <w:tc>
          <w:tcPr>
            <w:tcW w:w="3118" w:type="dxa"/>
            <w:noWrap w:val="0"/>
            <w:vAlign w:val="top"/>
          </w:tcPr>
          <w:p w14:paraId="3974E5F7">
            <w:pPr>
              <w:rPr>
                <w:highlight w:val="none"/>
              </w:rPr>
            </w:pPr>
          </w:p>
        </w:tc>
        <w:tc>
          <w:tcPr>
            <w:tcW w:w="2977" w:type="dxa"/>
            <w:noWrap w:val="0"/>
            <w:vAlign w:val="center"/>
          </w:tcPr>
          <w:p w14:paraId="30AED657">
            <w:pPr>
              <w:rPr>
                <w:highlight w:val="none"/>
              </w:rPr>
            </w:pPr>
          </w:p>
        </w:tc>
      </w:tr>
      <w:tr w14:paraId="5A5F8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3261" w:type="dxa"/>
            <w:noWrap w:val="0"/>
            <w:vAlign w:val="center"/>
          </w:tcPr>
          <w:p w14:paraId="6E67CF92">
            <w:pPr>
              <w:rPr>
                <w:highlight w:val="none"/>
              </w:rPr>
            </w:pPr>
          </w:p>
        </w:tc>
        <w:tc>
          <w:tcPr>
            <w:tcW w:w="3118" w:type="dxa"/>
            <w:noWrap w:val="0"/>
            <w:vAlign w:val="top"/>
          </w:tcPr>
          <w:p w14:paraId="20FDB8A8">
            <w:pPr>
              <w:rPr>
                <w:highlight w:val="none"/>
              </w:rPr>
            </w:pPr>
          </w:p>
        </w:tc>
        <w:tc>
          <w:tcPr>
            <w:tcW w:w="2977" w:type="dxa"/>
            <w:noWrap w:val="0"/>
            <w:vAlign w:val="center"/>
          </w:tcPr>
          <w:p w14:paraId="01E84095">
            <w:pPr>
              <w:rPr>
                <w:highlight w:val="none"/>
              </w:rPr>
            </w:pPr>
          </w:p>
        </w:tc>
      </w:tr>
      <w:tr w14:paraId="42D52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3261" w:type="dxa"/>
            <w:noWrap w:val="0"/>
            <w:vAlign w:val="center"/>
          </w:tcPr>
          <w:p w14:paraId="06E006EC">
            <w:pPr>
              <w:rPr>
                <w:highlight w:val="none"/>
              </w:rPr>
            </w:pPr>
          </w:p>
        </w:tc>
        <w:tc>
          <w:tcPr>
            <w:tcW w:w="3118" w:type="dxa"/>
            <w:noWrap w:val="0"/>
            <w:vAlign w:val="top"/>
          </w:tcPr>
          <w:p w14:paraId="0F9656B3">
            <w:pPr>
              <w:rPr>
                <w:highlight w:val="none"/>
              </w:rPr>
            </w:pPr>
          </w:p>
        </w:tc>
        <w:tc>
          <w:tcPr>
            <w:tcW w:w="2977" w:type="dxa"/>
            <w:noWrap w:val="0"/>
            <w:vAlign w:val="center"/>
          </w:tcPr>
          <w:p w14:paraId="6249AFE0">
            <w:pPr>
              <w:rPr>
                <w:highlight w:val="none"/>
              </w:rPr>
            </w:pPr>
          </w:p>
        </w:tc>
      </w:tr>
      <w:tr w14:paraId="0D08E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3261" w:type="dxa"/>
            <w:noWrap w:val="0"/>
            <w:vAlign w:val="center"/>
          </w:tcPr>
          <w:p w14:paraId="0F2F6AAF">
            <w:pPr>
              <w:rPr>
                <w:highlight w:val="none"/>
              </w:rPr>
            </w:pPr>
          </w:p>
        </w:tc>
        <w:tc>
          <w:tcPr>
            <w:tcW w:w="3118" w:type="dxa"/>
            <w:noWrap w:val="0"/>
            <w:vAlign w:val="top"/>
          </w:tcPr>
          <w:p w14:paraId="7C4BD456">
            <w:pPr>
              <w:rPr>
                <w:highlight w:val="none"/>
              </w:rPr>
            </w:pPr>
          </w:p>
        </w:tc>
        <w:tc>
          <w:tcPr>
            <w:tcW w:w="2977" w:type="dxa"/>
            <w:noWrap w:val="0"/>
            <w:vAlign w:val="center"/>
          </w:tcPr>
          <w:p w14:paraId="2371187C">
            <w:pPr>
              <w:rPr>
                <w:highlight w:val="none"/>
              </w:rPr>
            </w:pPr>
          </w:p>
        </w:tc>
      </w:tr>
      <w:tr w14:paraId="59661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3261" w:type="dxa"/>
            <w:noWrap w:val="0"/>
            <w:vAlign w:val="center"/>
          </w:tcPr>
          <w:p w14:paraId="3D7CEA97">
            <w:pPr>
              <w:rPr>
                <w:highlight w:val="none"/>
              </w:rPr>
            </w:pPr>
          </w:p>
        </w:tc>
        <w:tc>
          <w:tcPr>
            <w:tcW w:w="3118" w:type="dxa"/>
            <w:noWrap w:val="0"/>
            <w:vAlign w:val="top"/>
          </w:tcPr>
          <w:p w14:paraId="78093270">
            <w:pPr>
              <w:rPr>
                <w:highlight w:val="none"/>
              </w:rPr>
            </w:pPr>
          </w:p>
        </w:tc>
        <w:tc>
          <w:tcPr>
            <w:tcW w:w="2977" w:type="dxa"/>
            <w:noWrap w:val="0"/>
            <w:vAlign w:val="center"/>
          </w:tcPr>
          <w:p w14:paraId="07B1B74A">
            <w:pPr>
              <w:rPr>
                <w:highlight w:val="none"/>
              </w:rPr>
            </w:pPr>
          </w:p>
        </w:tc>
      </w:tr>
      <w:tr w14:paraId="01CD4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3261" w:type="dxa"/>
            <w:noWrap w:val="0"/>
            <w:vAlign w:val="center"/>
          </w:tcPr>
          <w:p w14:paraId="3E1CE7BE">
            <w:pPr>
              <w:rPr>
                <w:highlight w:val="none"/>
              </w:rPr>
            </w:pPr>
          </w:p>
        </w:tc>
        <w:tc>
          <w:tcPr>
            <w:tcW w:w="3118" w:type="dxa"/>
            <w:noWrap w:val="0"/>
            <w:vAlign w:val="top"/>
          </w:tcPr>
          <w:p w14:paraId="69AA89DE">
            <w:pPr>
              <w:rPr>
                <w:highlight w:val="none"/>
              </w:rPr>
            </w:pPr>
          </w:p>
        </w:tc>
        <w:tc>
          <w:tcPr>
            <w:tcW w:w="2977" w:type="dxa"/>
            <w:noWrap w:val="0"/>
            <w:vAlign w:val="center"/>
          </w:tcPr>
          <w:p w14:paraId="191F9DAC">
            <w:pPr>
              <w:rPr>
                <w:highlight w:val="none"/>
              </w:rPr>
            </w:pPr>
          </w:p>
        </w:tc>
      </w:tr>
      <w:tr w14:paraId="0C998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3261" w:type="dxa"/>
            <w:noWrap w:val="0"/>
            <w:vAlign w:val="center"/>
          </w:tcPr>
          <w:p w14:paraId="5B167EBB">
            <w:pPr>
              <w:rPr>
                <w:highlight w:val="none"/>
              </w:rPr>
            </w:pPr>
          </w:p>
        </w:tc>
        <w:tc>
          <w:tcPr>
            <w:tcW w:w="3118" w:type="dxa"/>
            <w:noWrap w:val="0"/>
            <w:vAlign w:val="top"/>
          </w:tcPr>
          <w:p w14:paraId="1B7B9A8F">
            <w:pPr>
              <w:rPr>
                <w:highlight w:val="none"/>
              </w:rPr>
            </w:pPr>
          </w:p>
        </w:tc>
        <w:tc>
          <w:tcPr>
            <w:tcW w:w="2977" w:type="dxa"/>
            <w:noWrap w:val="0"/>
            <w:vAlign w:val="center"/>
          </w:tcPr>
          <w:p w14:paraId="72B636C8">
            <w:pPr>
              <w:rPr>
                <w:highlight w:val="none"/>
              </w:rPr>
            </w:pPr>
          </w:p>
        </w:tc>
      </w:tr>
    </w:tbl>
    <w:p w14:paraId="5A1E2C98">
      <w:pPr>
        <w:pStyle w:val="5"/>
        <w:spacing w:before="0" w:after="0" w:line="538" w:lineRule="exact"/>
        <w:ind w:firstLine="482" w:firstLineChars="150"/>
        <w:jc w:val="center"/>
        <w:rPr>
          <w:highlight w:val="none"/>
        </w:rPr>
      </w:pPr>
      <w:r>
        <w:rPr>
          <w:color w:val="000000"/>
          <w:szCs w:val="30"/>
          <w:highlight w:val="none"/>
        </w:rPr>
        <w:br w:type="page"/>
      </w:r>
      <w:r>
        <w:rPr>
          <w:rFonts w:hint="eastAsia"/>
          <w:highlight w:val="none"/>
        </w:rPr>
        <w:t>1</w:t>
      </w:r>
      <w:r>
        <w:rPr>
          <w:highlight w:val="none"/>
        </w:rPr>
        <w:t>、</w:t>
      </w:r>
      <w:bookmarkStart w:id="206" w:name="_Toc526070444"/>
      <w:r>
        <w:rPr>
          <w:rFonts w:hint="eastAsia"/>
          <w:highlight w:val="none"/>
        </w:rPr>
        <w:t>开标一览表</w:t>
      </w:r>
      <w:bookmarkEnd w:id="206"/>
    </w:p>
    <w:p w14:paraId="7501049E">
      <w:pPr>
        <w:rPr>
          <w:rFonts w:ascii="宋体" w:hAnsi="宋体"/>
          <w:sz w:val="24"/>
          <w:highlight w:val="none"/>
        </w:rPr>
      </w:pPr>
      <w:r>
        <w:rPr>
          <w:rFonts w:hint="eastAsia" w:ascii="宋体" w:hAnsi="宋体"/>
          <w:sz w:val="24"/>
          <w:highlight w:val="none"/>
        </w:rPr>
        <w:t xml:space="preserve">项目名称：                               </w:t>
      </w:r>
    </w:p>
    <w:p w14:paraId="54B22C7D">
      <w:pPr>
        <w:rPr>
          <w:rFonts w:ascii="宋体" w:hAnsi="宋体"/>
          <w:sz w:val="24"/>
          <w:highlight w:val="none"/>
        </w:rPr>
      </w:pPr>
      <w:r>
        <w:rPr>
          <w:rFonts w:hint="eastAsia" w:ascii="宋体" w:hAnsi="宋体"/>
          <w:sz w:val="24"/>
          <w:highlight w:val="none"/>
        </w:rPr>
        <w:t>项目编号：</w:t>
      </w:r>
      <w:r>
        <w:rPr>
          <w:rFonts w:hint="eastAsia" w:ascii="宋体" w:hAnsi="宋体"/>
          <w:sz w:val="24"/>
          <w:highlight w:val="none"/>
          <w:u w:val="single"/>
        </w:rPr>
        <w:t xml:space="preserve">       　　　</w:t>
      </w:r>
    </w:p>
    <w:tbl>
      <w:tblPr>
        <w:tblStyle w:val="37"/>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98"/>
        <w:gridCol w:w="6467"/>
      </w:tblGrid>
      <w:tr w14:paraId="6C766A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45" w:hRule="atLeast"/>
          <w:jc w:val="center"/>
        </w:trPr>
        <w:tc>
          <w:tcPr>
            <w:tcW w:w="2698" w:type="dxa"/>
            <w:noWrap w:val="0"/>
            <w:vAlign w:val="center"/>
          </w:tcPr>
          <w:p w14:paraId="2EE84F83">
            <w:pPr>
              <w:spacing w:before="120" w:after="120"/>
              <w:jc w:val="center"/>
              <w:rPr>
                <w:rFonts w:hint="eastAsia" w:ascii="宋体" w:hAnsi="宋体"/>
                <w:sz w:val="24"/>
                <w:highlight w:val="none"/>
              </w:rPr>
            </w:pPr>
            <w:r>
              <w:rPr>
                <w:rFonts w:hint="eastAsia" w:ascii="宋体" w:hAnsi="宋体"/>
                <w:sz w:val="24"/>
                <w:highlight w:val="none"/>
              </w:rPr>
              <w:t>投标报价</w:t>
            </w:r>
          </w:p>
          <w:p w14:paraId="55E12EA1">
            <w:pPr>
              <w:spacing w:before="120" w:after="120"/>
              <w:jc w:val="center"/>
              <w:rPr>
                <w:rFonts w:hint="default" w:ascii="宋体" w:hAnsi="宋体" w:eastAsia="宋体"/>
                <w:sz w:val="24"/>
                <w:highlight w:val="none"/>
                <w:lang w:val="en-US" w:eastAsia="zh-CN"/>
              </w:rPr>
            </w:pPr>
            <w:r>
              <w:rPr>
                <w:rFonts w:hint="eastAsia" w:ascii="宋体" w:hAnsi="宋体"/>
                <w:sz w:val="24"/>
                <w:highlight w:val="none"/>
                <w:lang w:eastAsia="zh-CN"/>
              </w:rPr>
              <w:t>（</w:t>
            </w:r>
            <w:r>
              <w:rPr>
                <w:rFonts w:hint="eastAsia" w:ascii="宋体" w:hAnsi="宋体"/>
                <w:sz w:val="24"/>
                <w:highlight w:val="none"/>
                <w:lang w:val="en-US" w:eastAsia="zh-CN"/>
              </w:rPr>
              <w:t>单价：元/台）</w:t>
            </w:r>
          </w:p>
        </w:tc>
        <w:tc>
          <w:tcPr>
            <w:tcW w:w="6467" w:type="dxa"/>
            <w:noWrap w:val="0"/>
            <w:vAlign w:val="center"/>
          </w:tcPr>
          <w:p w14:paraId="74767C8A">
            <w:pPr>
              <w:spacing w:before="120" w:after="120"/>
              <w:rPr>
                <w:rFonts w:ascii="宋体" w:hAnsi="宋体"/>
                <w:sz w:val="24"/>
                <w:highlight w:val="none"/>
              </w:rPr>
            </w:pPr>
            <w:r>
              <w:rPr>
                <w:rFonts w:hint="eastAsia" w:ascii="宋体" w:hAnsi="宋体"/>
                <w:sz w:val="24"/>
                <w:highlight w:val="none"/>
              </w:rPr>
              <w:t>大写：</w:t>
            </w:r>
          </w:p>
          <w:p w14:paraId="33D98199">
            <w:pPr>
              <w:spacing w:before="120" w:after="120"/>
              <w:rPr>
                <w:rFonts w:ascii="宋体" w:hAnsi="宋体"/>
                <w:sz w:val="24"/>
                <w:highlight w:val="none"/>
              </w:rPr>
            </w:pPr>
            <w:r>
              <w:rPr>
                <w:rFonts w:hint="eastAsia" w:ascii="宋体" w:hAnsi="宋体"/>
                <w:sz w:val="24"/>
                <w:highlight w:val="none"/>
              </w:rPr>
              <w:t>小写：</w:t>
            </w:r>
          </w:p>
        </w:tc>
      </w:tr>
      <w:tr w14:paraId="3CED7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45" w:hRule="atLeast"/>
          <w:jc w:val="center"/>
        </w:trPr>
        <w:tc>
          <w:tcPr>
            <w:tcW w:w="2698" w:type="dxa"/>
            <w:noWrap w:val="0"/>
            <w:vAlign w:val="center"/>
          </w:tcPr>
          <w:p w14:paraId="52B45C74">
            <w:pPr>
              <w:spacing w:before="120" w:after="120"/>
              <w:jc w:val="center"/>
              <w:rPr>
                <w:rFonts w:hint="eastAsia" w:ascii="宋体" w:hAnsi="宋体"/>
                <w:sz w:val="24"/>
                <w:highlight w:val="none"/>
              </w:rPr>
            </w:pPr>
            <w:r>
              <w:rPr>
                <w:rFonts w:hint="eastAsia" w:ascii="宋体" w:hAnsi="宋体"/>
                <w:sz w:val="24"/>
                <w:highlight w:val="none"/>
              </w:rPr>
              <w:t>投标产品品牌、型号</w:t>
            </w:r>
          </w:p>
        </w:tc>
        <w:tc>
          <w:tcPr>
            <w:tcW w:w="6467" w:type="dxa"/>
            <w:noWrap w:val="0"/>
            <w:vAlign w:val="center"/>
          </w:tcPr>
          <w:p w14:paraId="5D14C2CE">
            <w:pPr>
              <w:spacing w:before="120" w:after="120"/>
              <w:rPr>
                <w:rFonts w:hint="eastAsia" w:ascii="宋体" w:hAnsi="宋体"/>
                <w:sz w:val="24"/>
                <w:highlight w:val="none"/>
              </w:rPr>
            </w:pPr>
          </w:p>
        </w:tc>
      </w:tr>
      <w:tr w14:paraId="18CEB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7" w:hRule="atLeast"/>
          <w:jc w:val="center"/>
        </w:trPr>
        <w:tc>
          <w:tcPr>
            <w:tcW w:w="2698" w:type="dxa"/>
            <w:noWrap w:val="0"/>
            <w:vAlign w:val="center"/>
          </w:tcPr>
          <w:p w14:paraId="61449689">
            <w:pPr>
              <w:spacing w:before="120" w:after="120"/>
              <w:jc w:val="center"/>
              <w:rPr>
                <w:sz w:val="24"/>
                <w:highlight w:val="none"/>
              </w:rPr>
            </w:pPr>
            <w:r>
              <w:rPr>
                <w:sz w:val="24"/>
                <w:highlight w:val="none"/>
              </w:rPr>
              <w:t>交货时间</w:t>
            </w:r>
          </w:p>
        </w:tc>
        <w:tc>
          <w:tcPr>
            <w:tcW w:w="6467" w:type="dxa"/>
            <w:noWrap w:val="0"/>
            <w:vAlign w:val="center"/>
          </w:tcPr>
          <w:p w14:paraId="42F56F19">
            <w:pPr>
              <w:spacing w:before="120" w:after="120"/>
              <w:rPr>
                <w:b/>
                <w:sz w:val="24"/>
                <w:highlight w:val="none"/>
              </w:rPr>
            </w:pPr>
          </w:p>
        </w:tc>
      </w:tr>
      <w:tr w14:paraId="20F99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5" w:hRule="atLeast"/>
          <w:jc w:val="center"/>
        </w:trPr>
        <w:tc>
          <w:tcPr>
            <w:tcW w:w="2698" w:type="dxa"/>
            <w:tcBorders>
              <w:top w:val="single" w:color="000000" w:sz="4" w:space="0"/>
              <w:left w:val="single" w:color="000000" w:sz="4" w:space="0"/>
              <w:bottom w:val="single" w:color="000000" w:sz="4" w:space="0"/>
              <w:right w:val="single" w:color="000000" w:sz="4" w:space="0"/>
            </w:tcBorders>
            <w:noWrap w:val="0"/>
            <w:vAlign w:val="center"/>
          </w:tcPr>
          <w:p w14:paraId="02C28902">
            <w:pPr>
              <w:spacing w:before="120" w:after="120"/>
              <w:jc w:val="center"/>
              <w:rPr>
                <w:rFonts w:ascii="宋体" w:hAnsi="宋体"/>
                <w:sz w:val="24"/>
                <w:highlight w:val="none"/>
              </w:rPr>
            </w:pPr>
            <w:r>
              <w:rPr>
                <w:rFonts w:hint="eastAsia" w:ascii="宋体" w:hAnsi="宋体"/>
                <w:sz w:val="24"/>
                <w:highlight w:val="none"/>
              </w:rPr>
              <w:t>投标产品制造商是否是小微企业</w:t>
            </w:r>
          </w:p>
        </w:tc>
        <w:tc>
          <w:tcPr>
            <w:tcW w:w="6467" w:type="dxa"/>
            <w:tcBorders>
              <w:top w:val="single" w:color="000000" w:sz="4" w:space="0"/>
              <w:left w:val="single" w:color="000000" w:sz="4" w:space="0"/>
              <w:bottom w:val="single" w:color="000000" w:sz="4" w:space="0"/>
              <w:right w:val="single" w:color="000000" w:sz="4" w:space="0"/>
            </w:tcBorders>
            <w:noWrap w:val="0"/>
            <w:vAlign w:val="center"/>
          </w:tcPr>
          <w:p w14:paraId="39F74308">
            <w:pPr>
              <w:spacing w:before="120" w:after="120"/>
              <w:ind w:firstLine="480" w:firstLineChars="200"/>
              <w:rPr>
                <w:rFonts w:ascii="宋体" w:hAnsi="宋体"/>
                <w:sz w:val="24"/>
                <w:highlight w:val="none"/>
              </w:rPr>
            </w:pPr>
            <w:r>
              <w:rPr>
                <w:rFonts w:hint="eastAsia" w:ascii="宋体" w:hAnsi="宋体"/>
                <w:sz w:val="24"/>
                <w:highlight w:val="none"/>
              </w:rPr>
              <w:t>□是                          □否</w:t>
            </w:r>
          </w:p>
        </w:tc>
      </w:tr>
      <w:tr w14:paraId="40C85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5" w:hRule="atLeast"/>
          <w:jc w:val="center"/>
        </w:trPr>
        <w:tc>
          <w:tcPr>
            <w:tcW w:w="2698" w:type="dxa"/>
            <w:tcBorders>
              <w:top w:val="single" w:color="000000" w:sz="4" w:space="0"/>
              <w:left w:val="single" w:color="000000" w:sz="4" w:space="0"/>
              <w:bottom w:val="single" w:color="000000" w:sz="4" w:space="0"/>
              <w:right w:val="single" w:color="000000" w:sz="4" w:space="0"/>
            </w:tcBorders>
            <w:noWrap w:val="0"/>
            <w:vAlign w:val="center"/>
          </w:tcPr>
          <w:p w14:paraId="0ED864BC">
            <w:pPr>
              <w:spacing w:before="120" w:after="120"/>
              <w:jc w:val="center"/>
              <w:rPr>
                <w:rFonts w:ascii="宋体" w:hAnsi="宋体"/>
                <w:sz w:val="24"/>
                <w:highlight w:val="none"/>
              </w:rPr>
            </w:pPr>
            <w:r>
              <w:rPr>
                <w:rFonts w:hint="eastAsia" w:ascii="宋体" w:hAnsi="宋体"/>
                <w:sz w:val="24"/>
                <w:highlight w:val="none"/>
              </w:rPr>
              <w:t>投标产品制造商是否是残疾人福利单位</w:t>
            </w:r>
          </w:p>
        </w:tc>
        <w:tc>
          <w:tcPr>
            <w:tcW w:w="6467" w:type="dxa"/>
            <w:tcBorders>
              <w:top w:val="single" w:color="000000" w:sz="4" w:space="0"/>
              <w:left w:val="single" w:color="000000" w:sz="4" w:space="0"/>
              <w:bottom w:val="single" w:color="000000" w:sz="4" w:space="0"/>
              <w:right w:val="single" w:color="000000" w:sz="4" w:space="0"/>
            </w:tcBorders>
            <w:noWrap w:val="0"/>
            <w:vAlign w:val="center"/>
          </w:tcPr>
          <w:p w14:paraId="6634A5E2">
            <w:pPr>
              <w:spacing w:before="120" w:after="120"/>
              <w:ind w:firstLine="480" w:firstLineChars="200"/>
              <w:rPr>
                <w:rFonts w:ascii="宋体" w:hAnsi="宋体"/>
                <w:sz w:val="24"/>
                <w:highlight w:val="none"/>
              </w:rPr>
            </w:pPr>
            <w:r>
              <w:rPr>
                <w:rFonts w:hint="eastAsia" w:ascii="宋体" w:hAnsi="宋体"/>
                <w:sz w:val="24"/>
                <w:highlight w:val="none"/>
              </w:rPr>
              <w:t>□是                          □否</w:t>
            </w:r>
          </w:p>
        </w:tc>
      </w:tr>
      <w:tr w14:paraId="39516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5" w:hRule="atLeast"/>
          <w:jc w:val="center"/>
        </w:trPr>
        <w:tc>
          <w:tcPr>
            <w:tcW w:w="2698" w:type="dxa"/>
            <w:tcBorders>
              <w:top w:val="single" w:color="000000" w:sz="4" w:space="0"/>
              <w:left w:val="single" w:color="000000" w:sz="4" w:space="0"/>
              <w:bottom w:val="single" w:color="000000" w:sz="4" w:space="0"/>
              <w:right w:val="single" w:color="000000" w:sz="4" w:space="0"/>
            </w:tcBorders>
            <w:noWrap w:val="0"/>
            <w:vAlign w:val="center"/>
          </w:tcPr>
          <w:p w14:paraId="56A66362">
            <w:pPr>
              <w:spacing w:before="120" w:after="120"/>
              <w:jc w:val="center"/>
              <w:rPr>
                <w:rFonts w:ascii="宋体" w:hAnsi="宋体"/>
                <w:sz w:val="24"/>
                <w:highlight w:val="none"/>
              </w:rPr>
            </w:pPr>
            <w:r>
              <w:rPr>
                <w:rFonts w:hint="eastAsia" w:ascii="宋体" w:hAnsi="宋体"/>
                <w:sz w:val="24"/>
                <w:highlight w:val="none"/>
              </w:rPr>
              <w:t>投标产品制造商是否是监狱和戒毒企业</w:t>
            </w:r>
          </w:p>
        </w:tc>
        <w:tc>
          <w:tcPr>
            <w:tcW w:w="6467" w:type="dxa"/>
            <w:tcBorders>
              <w:top w:val="single" w:color="000000" w:sz="4" w:space="0"/>
              <w:left w:val="single" w:color="000000" w:sz="4" w:space="0"/>
              <w:bottom w:val="single" w:color="000000" w:sz="4" w:space="0"/>
              <w:right w:val="single" w:color="000000" w:sz="4" w:space="0"/>
            </w:tcBorders>
            <w:noWrap w:val="0"/>
            <w:vAlign w:val="center"/>
          </w:tcPr>
          <w:p w14:paraId="194A3BB3">
            <w:pPr>
              <w:spacing w:before="120" w:after="120"/>
              <w:ind w:firstLine="480" w:firstLineChars="200"/>
              <w:rPr>
                <w:rFonts w:ascii="宋体" w:hAnsi="宋体"/>
                <w:sz w:val="24"/>
                <w:highlight w:val="none"/>
              </w:rPr>
            </w:pPr>
            <w:r>
              <w:rPr>
                <w:rFonts w:hint="eastAsia" w:ascii="宋体" w:hAnsi="宋体"/>
                <w:sz w:val="24"/>
                <w:highlight w:val="none"/>
              </w:rPr>
              <w:t>□是                          □否</w:t>
            </w:r>
          </w:p>
        </w:tc>
      </w:tr>
    </w:tbl>
    <w:p w14:paraId="0B7C1BF5">
      <w:pPr>
        <w:pStyle w:val="4"/>
        <w:ind w:leftChars="-50" w:hanging="105" w:hangingChars="50"/>
        <w:rPr>
          <w:rFonts w:ascii="宋体" w:hAnsi="宋体"/>
          <w:highlight w:val="none"/>
        </w:rPr>
      </w:pPr>
    </w:p>
    <w:p w14:paraId="68717657">
      <w:pPr>
        <w:pStyle w:val="4"/>
        <w:spacing w:line="500" w:lineRule="exact"/>
        <w:ind w:left="15" w:leftChars="-50" w:hanging="120" w:hangingChars="50"/>
        <w:rPr>
          <w:sz w:val="24"/>
          <w:szCs w:val="24"/>
          <w:highlight w:val="none"/>
        </w:rPr>
      </w:pPr>
      <w:r>
        <w:rPr>
          <w:sz w:val="24"/>
          <w:szCs w:val="24"/>
          <w:highlight w:val="none"/>
        </w:rPr>
        <w:t>供应商名称（公章）：</w:t>
      </w:r>
      <w:r>
        <w:rPr>
          <w:sz w:val="24"/>
          <w:szCs w:val="24"/>
          <w:highlight w:val="none"/>
          <w:u w:val="single"/>
        </w:rPr>
        <w:t xml:space="preserve">                     </w:t>
      </w:r>
      <w:r>
        <w:rPr>
          <w:sz w:val="24"/>
          <w:szCs w:val="24"/>
          <w:highlight w:val="none"/>
        </w:rPr>
        <w:t xml:space="preserve">    </w:t>
      </w:r>
    </w:p>
    <w:p w14:paraId="0493DB23">
      <w:pPr>
        <w:pStyle w:val="4"/>
        <w:spacing w:line="500" w:lineRule="exact"/>
        <w:ind w:left="15" w:leftChars="-50" w:hanging="120" w:hangingChars="50"/>
        <w:rPr>
          <w:sz w:val="24"/>
          <w:szCs w:val="24"/>
          <w:highlight w:val="none"/>
        </w:rPr>
      </w:pPr>
    </w:p>
    <w:p w14:paraId="02FCEA23">
      <w:pPr>
        <w:pStyle w:val="4"/>
        <w:spacing w:line="500" w:lineRule="exact"/>
        <w:ind w:left="15" w:leftChars="-50" w:hanging="120" w:hangingChars="50"/>
        <w:rPr>
          <w:sz w:val="24"/>
          <w:szCs w:val="24"/>
          <w:highlight w:val="none"/>
        </w:rPr>
      </w:pPr>
      <w:r>
        <w:rPr>
          <w:sz w:val="24"/>
          <w:szCs w:val="24"/>
          <w:highlight w:val="none"/>
        </w:rPr>
        <w:t>法定代表人（授权代表）签字：</w:t>
      </w:r>
      <w:r>
        <w:rPr>
          <w:sz w:val="24"/>
          <w:szCs w:val="24"/>
          <w:highlight w:val="none"/>
          <w:u w:val="single"/>
        </w:rPr>
        <w:t xml:space="preserve">              </w:t>
      </w:r>
    </w:p>
    <w:p w14:paraId="1CAB6CAF">
      <w:pPr>
        <w:spacing w:line="500" w:lineRule="exact"/>
        <w:ind w:hanging="315"/>
        <w:jc w:val="right"/>
        <w:rPr>
          <w:sz w:val="24"/>
          <w:highlight w:val="none"/>
        </w:rPr>
      </w:pPr>
      <w:r>
        <w:rPr>
          <w:sz w:val="24"/>
          <w:szCs w:val="24"/>
          <w:highlight w:val="none"/>
        </w:rPr>
        <w:t xml:space="preserve">                                </w:t>
      </w:r>
      <w:r>
        <w:rPr>
          <w:sz w:val="24"/>
          <w:highlight w:val="none"/>
        </w:rPr>
        <w:t xml:space="preserve">                                            日期：</w:t>
      </w:r>
      <w:r>
        <w:rPr>
          <w:sz w:val="24"/>
          <w:highlight w:val="none"/>
          <w:u w:val="single"/>
        </w:rPr>
        <w:t xml:space="preserve">     </w:t>
      </w:r>
      <w:r>
        <w:rPr>
          <w:sz w:val="24"/>
          <w:highlight w:val="none"/>
        </w:rPr>
        <w:t xml:space="preserve"> 年</w:t>
      </w:r>
      <w:r>
        <w:rPr>
          <w:sz w:val="24"/>
          <w:highlight w:val="none"/>
          <w:u w:val="single"/>
        </w:rPr>
        <w:t xml:space="preserve">     </w:t>
      </w:r>
      <w:r>
        <w:rPr>
          <w:sz w:val="24"/>
          <w:highlight w:val="none"/>
        </w:rPr>
        <w:t>月</w:t>
      </w:r>
      <w:r>
        <w:rPr>
          <w:sz w:val="24"/>
          <w:highlight w:val="none"/>
          <w:u w:val="single"/>
        </w:rPr>
        <w:t xml:space="preserve">     </w:t>
      </w:r>
      <w:r>
        <w:rPr>
          <w:sz w:val="24"/>
          <w:highlight w:val="none"/>
        </w:rPr>
        <w:t>日</w:t>
      </w:r>
    </w:p>
    <w:p w14:paraId="44B30F8B">
      <w:pPr>
        <w:rPr>
          <w:rFonts w:ascii="宋体" w:hAnsi="宋体"/>
          <w:sz w:val="24"/>
          <w:szCs w:val="24"/>
          <w:highlight w:val="none"/>
        </w:rPr>
      </w:pPr>
      <w:r>
        <w:rPr>
          <w:rFonts w:ascii="宋体" w:hAnsi="宋体"/>
          <w:sz w:val="24"/>
          <w:szCs w:val="24"/>
          <w:highlight w:val="none"/>
        </w:rPr>
        <w:br w:type="page"/>
      </w:r>
      <w:r>
        <w:rPr>
          <w:rFonts w:hint="eastAsia" w:ascii="宋体" w:hAnsi="宋体"/>
          <w:sz w:val="24"/>
          <w:szCs w:val="24"/>
          <w:highlight w:val="none"/>
        </w:rPr>
        <w:t>填写说明：</w:t>
      </w:r>
    </w:p>
    <w:p w14:paraId="5C9DD357">
      <w:pPr>
        <w:spacing w:line="400" w:lineRule="exact"/>
        <w:ind w:firstLine="480" w:firstLineChars="200"/>
        <w:rPr>
          <w:rFonts w:ascii="Times New Roman" w:hAnsi="Times New Roman"/>
          <w:sz w:val="24"/>
          <w:szCs w:val="24"/>
          <w:highlight w:val="none"/>
        </w:rPr>
      </w:pPr>
      <w:r>
        <w:rPr>
          <w:rFonts w:ascii="Times New Roman" w:hAnsi="Times New Roman"/>
          <w:sz w:val="24"/>
          <w:szCs w:val="24"/>
          <w:highlight w:val="none"/>
        </w:rPr>
        <w:t>1、投标报价包括货物价、包装费、运输、调换、技术服务、必不可少的部件等费用，以及已支付或将支付的营业税和其它税费；</w:t>
      </w:r>
    </w:p>
    <w:p w14:paraId="3458D658">
      <w:pPr>
        <w:spacing w:line="400" w:lineRule="exact"/>
        <w:ind w:firstLine="480" w:firstLineChars="200"/>
        <w:rPr>
          <w:rFonts w:ascii="Times New Roman" w:hAnsi="Times New Roman"/>
          <w:sz w:val="24"/>
          <w:szCs w:val="24"/>
          <w:highlight w:val="none"/>
        </w:rPr>
      </w:pPr>
      <w:r>
        <w:rPr>
          <w:rFonts w:ascii="Times New Roman" w:hAnsi="Times New Roman"/>
          <w:sz w:val="24"/>
          <w:szCs w:val="24"/>
          <w:highlight w:val="none"/>
        </w:rPr>
        <w:t>2、</w:t>
      </w:r>
      <w:r>
        <w:rPr>
          <w:rFonts w:ascii="Times New Roman" w:hAnsi="Times New Roman"/>
          <w:b/>
          <w:i/>
          <w:sz w:val="24"/>
          <w:szCs w:val="24"/>
          <w:highlight w:val="none"/>
          <w:u w:val="single"/>
        </w:rPr>
        <w:t>此表是投标文件的必要文件，是投标文件的组成部分，</w:t>
      </w:r>
      <w:r>
        <w:rPr>
          <w:rFonts w:hint="eastAsia" w:ascii="Times New Roman" w:hAnsi="Times New Roman"/>
          <w:b/>
          <w:i/>
          <w:sz w:val="24"/>
          <w:szCs w:val="24"/>
          <w:highlight w:val="none"/>
          <w:u w:val="single"/>
        </w:rPr>
        <w:t>需单独准备一份</w:t>
      </w:r>
      <w:r>
        <w:rPr>
          <w:rFonts w:ascii="Times New Roman" w:hAnsi="Times New Roman"/>
          <w:b/>
          <w:i/>
          <w:sz w:val="24"/>
          <w:szCs w:val="24"/>
          <w:highlight w:val="none"/>
          <w:u w:val="single"/>
        </w:rPr>
        <w:t>封装在信封中，作为唱标之用，在投标截止时间前与投标文件分别递交，否则视为无效投标；</w:t>
      </w:r>
    </w:p>
    <w:p w14:paraId="395222F9">
      <w:pPr>
        <w:spacing w:line="400" w:lineRule="exact"/>
        <w:ind w:firstLine="480" w:firstLineChars="200"/>
        <w:rPr>
          <w:rFonts w:ascii="Times New Roman" w:hAnsi="Times New Roman"/>
          <w:sz w:val="24"/>
          <w:szCs w:val="24"/>
          <w:highlight w:val="none"/>
        </w:rPr>
      </w:pPr>
      <w:r>
        <w:rPr>
          <w:rFonts w:ascii="Times New Roman" w:hAnsi="Times New Roman"/>
          <w:sz w:val="24"/>
          <w:szCs w:val="24"/>
          <w:highlight w:val="none"/>
        </w:rPr>
        <w:t>3、</w:t>
      </w:r>
      <w:r>
        <w:rPr>
          <w:rFonts w:ascii="Times New Roman" w:hAnsi="Times New Roman"/>
          <w:b/>
          <w:i/>
          <w:sz w:val="24"/>
          <w:szCs w:val="24"/>
          <w:highlight w:val="none"/>
          <w:u w:val="single"/>
        </w:rPr>
        <w:t>开标一览表必须加盖供应商公章，并经法定代表人或授权代表签字；</w:t>
      </w:r>
    </w:p>
    <w:p w14:paraId="5E84CE23">
      <w:pPr>
        <w:spacing w:line="400" w:lineRule="exact"/>
        <w:ind w:firstLine="480" w:firstLineChars="200"/>
        <w:rPr>
          <w:rFonts w:ascii="Times New Roman" w:hAnsi="Times New Roman"/>
          <w:sz w:val="24"/>
          <w:szCs w:val="24"/>
          <w:highlight w:val="none"/>
        </w:rPr>
      </w:pPr>
      <w:r>
        <w:rPr>
          <w:rFonts w:ascii="Times New Roman" w:hAnsi="Times New Roman"/>
          <w:sz w:val="24"/>
          <w:szCs w:val="24"/>
          <w:highlight w:val="none"/>
        </w:rPr>
        <w:t>4、投标报价应与标书中分项报价中总价相一致，如有不一致内容按开标一览表内容为准；</w:t>
      </w:r>
    </w:p>
    <w:p w14:paraId="4E850A0B">
      <w:pPr>
        <w:spacing w:line="400" w:lineRule="exact"/>
        <w:ind w:firstLine="480" w:firstLineChars="200"/>
        <w:rPr>
          <w:rFonts w:ascii="Times New Roman" w:hAnsi="Times New Roman"/>
          <w:sz w:val="24"/>
          <w:szCs w:val="24"/>
          <w:highlight w:val="none"/>
        </w:rPr>
      </w:pPr>
      <w:r>
        <w:rPr>
          <w:rFonts w:ascii="Times New Roman" w:hAnsi="Times New Roman"/>
          <w:sz w:val="24"/>
          <w:szCs w:val="24"/>
          <w:highlight w:val="none"/>
        </w:rPr>
        <w:t>5、未按规定填报表中内容的，将不予唱标。</w:t>
      </w:r>
    </w:p>
    <w:p w14:paraId="59CD33B0">
      <w:pPr>
        <w:pStyle w:val="5"/>
        <w:spacing w:before="0" w:after="0" w:line="538" w:lineRule="exact"/>
        <w:ind w:firstLine="482" w:firstLineChars="150"/>
        <w:jc w:val="center"/>
        <w:rPr>
          <w:highlight w:val="none"/>
        </w:rPr>
      </w:pPr>
      <w:r>
        <w:rPr>
          <w:bCs w:val="0"/>
          <w:highlight w:val="none"/>
        </w:rPr>
        <w:br w:type="page"/>
      </w:r>
      <w:r>
        <w:rPr>
          <w:rFonts w:hint="eastAsia"/>
          <w:highlight w:val="none"/>
        </w:rPr>
        <w:t>1.1</w:t>
      </w:r>
      <w:r>
        <w:rPr>
          <w:highlight w:val="none"/>
        </w:rPr>
        <w:t>投标产品配置及分项报价表</w:t>
      </w:r>
    </w:p>
    <w:p w14:paraId="38CEF4D5">
      <w:pPr>
        <w:tabs>
          <w:tab w:val="left" w:pos="5655"/>
        </w:tabs>
        <w:jc w:val="right"/>
        <w:rPr>
          <w:rFonts w:ascii="Times New Roman" w:hAnsi="Times New Roman"/>
          <w:sz w:val="24"/>
          <w:szCs w:val="24"/>
          <w:highlight w:val="none"/>
        </w:rPr>
      </w:pPr>
      <w:r>
        <w:rPr>
          <w:rFonts w:ascii="Times New Roman" w:hAnsi="Times New Roman"/>
          <w:sz w:val="24"/>
          <w:szCs w:val="24"/>
          <w:highlight w:val="none"/>
        </w:rPr>
        <w:t>价格单位：人民币元</w:t>
      </w:r>
    </w:p>
    <w:tbl>
      <w:tblPr>
        <w:tblStyle w:val="37"/>
        <w:tblW w:w="0" w:type="auto"/>
        <w:jc w:val="center"/>
        <w:tblLayout w:type="fixed"/>
        <w:tblCellMar>
          <w:top w:w="0" w:type="dxa"/>
          <w:left w:w="30" w:type="dxa"/>
          <w:bottom w:w="0" w:type="dxa"/>
          <w:right w:w="30" w:type="dxa"/>
        </w:tblCellMar>
      </w:tblPr>
      <w:tblGrid>
        <w:gridCol w:w="2245"/>
        <w:gridCol w:w="1380"/>
        <w:gridCol w:w="2160"/>
        <w:gridCol w:w="540"/>
        <w:gridCol w:w="720"/>
        <w:gridCol w:w="1778"/>
      </w:tblGrid>
      <w:tr w14:paraId="7536C86A">
        <w:tblPrEx>
          <w:tblCellMar>
            <w:top w:w="0" w:type="dxa"/>
            <w:left w:w="30" w:type="dxa"/>
            <w:bottom w:w="0" w:type="dxa"/>
            <w:right w:w="30" w:type="dxa"/>
          </w:tblCellMar>
        </w:tblPrEx>
        <w:trPr>
          <w:trHeight w:val="450" w:hRule="atLeast"/>
          <w:jc w:val="center"/>
        </w:trPr>
        <w:tc>
          <w:tcPr>
            <w:tcW w:w="2245" w:type="dxa"/>
            <w:tcBorders>
              <w:top w:val="single" w:color="auto" w:sz="6" w:space="0"/>
              <w:left w:val="single" w:color="auto" w:sz="6" w:space="0"/>
              <w:bottom w:val="single" w:color="auto" w:sz="6" w:space="0"/>
              <w:right w:val="single" w:color="auto" w:sz="6" w:space="0"/>
            </w:tcBorders>
            <w:noWrap w:val="0"/>
            <w:vAlign w:val="center"/>
          </w:tcPr>
          <w:p w14:paraId="74B9B48B">
            <w:pPr>
              <w:autoSpaceDE w:val="0"/>
              <w:autoSpaceDN w:val="0"/>
              <w:jc w:val="center"/>
              <w:rPr>
                <w:highlight w:val="none"/>
              </w:rPr>
            </w:pPr>
            <w:r>
              <w:rPr>
                <w:highlight w:val="none"/>
              </w:rPr>
              <w:t>货物名称</w:t>
            </w:r>
          </w:p>
        </w:tc>
        <w:tc>
          <w:tcPr>
            <w:tcW w:w="1380" w:type="dxa"/>
            <w:tcBorders>
              <w:top w:val="single" w:color="auto" w:sz="6" w:space="0"/>
              <w:left w:val="single" w:color="auto" w:sz="6" w:space="0"/>
              <w:bottom w:val="single" w:color="auto" w:sz="6" w:space="0"/>
              <w:right w:val="single" w:color="auto" w:sz="6" w:space="0"/>
            </w:tcBorders>
            <w:noWrap w:val="0"/>
            <w:vAlign w:val="center"/>
          </w:tcPr>
          <w:p w14:paraId="3D436AB6">
            <w:pPr>
              <w:autoSpaceDE w:val="0"/>
              <w:autoSpaceDN w:val="0"/>
              <w:jc w:val="center"/>
              <w:rPr>
                <w:highlight w:val="none"/>
              </w:rPr>
            </w:pPr>
            <w:r>
              <w:rPr>
                <w:highlight w:val="none"/>
              </w:rPr>
              <w:t>品牌</w:t>
            </w:r>
          </w:p>
        </w:tc>
        <w:tc>
          <w:tcPr>
            <w:tcW w:w="2160" w:type="dxa"/>
            <w:tcBorders>
              <w:top w:val="single" w:color="auto" w:sz="6" w:space="0"/>
              <w:left w:val="single" w:color="auto" w:sz="6" w:space="0"/>
              <w:bottom w:val="single" w:color="auto" w:sz="6" w:space="0"/>
              <w:right w:val="single" w:color="auto" w:sz="6" w:space="0"/>
            </w:tcBorders>
            <w:noWrap w:val="0"/>
            <w:vAlign w:val="center"/>
          </w:tcPr>
          <w:p w14:paraId="5394B29C">
            <w:pPr>
              <w:autoSpaceDE w:val="0"/>
              <w:autoSpaceDN w:val="0"/>
              <w:jc w:val="center"/>
              <w:rPr>
                <w:highlight w:val="none"/>
              </w:rPr>
            </w:pPr>
            <w:r>
              <w:rPr>
                <w:highlight w:val="none"/>
              </w:rPr>
              <w:t>规格/型号</w:t>
            </w:r>
          </w:p>
        </w:tc>
        <w:tc>
          <w:tcPr>
            <w:tcW w:w="540" w:type="dxa"/>
            <w:tcBorders>
              <w:top w:val="single" w:color="auto" w:sz="6" w:space="0"/>
              <w:left w:val="single" w:color="auto" w:sz="6" w:space="0"/>
              <w:bottom w:val="single" w:color="auto" w:sz="6" w:space="0"/>
              <w:right w:val="single" w:color="auto" w:sz="6" w:space="0"/>
            </w:tcBorders>
            <w:noWrap w:val="0"/>
            <w:vAlign w:val="center"/>
          </w:tcPr>
          <w:p w14:paraId="5E6F4B53">
            <w:pPr>
              <w:autoSpaceDE w:val="0"/>
              <w:autoSpaceDN w:val="0"/>
              <w:jc w:val="center"/>
              <w:rPr>
                <w:highlight w:val="none"/>
              </w:rPr>
            </w:pPr>
            <w:r>
              <w:rPr>
                <w:highlight w:val="none"/>
              </w:rPr>
              <w:t>数量</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1DDBF952">
            <w:pPr>
              <w:autoSpaceDE w:val="0"/>
              <w:autoSpaceDN w:val="0"/>
              <w:jc w:val="center"/>
              <w:rPr>
                <w:highlight w:val="none"/>
              </w:rPr>
            </w:pPr>
            <w:r>
              <w:rPr>
                <w:highlight w:val="none"/>
              </w:rPr>
              <w:t>单价</w:t>
            </w:r>
          </w:p>
        </w:tc>
        <w:tc>
          <w:tcPr>
            <w:tcW w:w="1778" w:type="dxa"/>
            <w:tcBorders>
              <w:top w:val="single" w:color="auto" w:sz="6" w:space="0"/>
              <w:left w:val="single" w:color="auto" w:sz="6" w:space="0"/>
              <w:bottom w:val="single" w:color="auto" w:sz="6" w:space="0"/>
              <w:right w:val="single" w:color="auto" w:sz="6" w:space="0"/>
            </w:tcBorders>
            <w:noWrap w:val="0"/>
            <w:vAlign w:val="center"/>
          </w:tcPr>
          <w:p w14:paraId="0C13ED28">
            <w:pPr>
              <w:autoSpaceDE w:val="0"/>
              <w:autoSpaceDN w:val="0"/>
              <w:jc w:val="center"/>
              <w:rPr>
                <w:highlight w:val="none"/>
              </w:rPr>
            </w:pPr>
            <w:r>
              <w:rPr>
                <w:highlight w:val="none"/>
              </w:rPr>
              <w:t>总价</w:t>
            </w:r>
          </w:p>
        </w:tc>
      </w:tr>
      <w:tr w14:paraId="5E2AE0B6">
        <w:tblPrEx>
          <w:tblCellMar>
            <w:top w:w="0" w:type="dxa"/>
            <w:left w:w="30" w:type="dxa"/>
            <w:bottom w:w="0" w:type="dxa"/>
            <w:right w:w="30" w:type="dxa"/>
          </w:tblCellMar>
        </w:tblPrEx>
        <w:trPr>
          <w:trHeight w:val="450" w:hRule="atLeast"/>
          <w:jc w:val="center"/>
        </w:trPr>
        <w:tc>
          <w:tcPr>
            <w:tcW w:w="2245" w:type="dxa"/>
            <w:tcBorders>
              <w:top w:val="single" w:color="auto" w:sz="6" w:space="0"/>
              <w:left w:val="single" w:color="auto" w:sz="6" w:space="0"/>
              <w:bottom w:val="single" w:color="auto" w:sz="6" w:space="0"/>
              <w:right w:val="single" w:color="auto" w:sz="6" w:space="0"/>
            </w:tcBorders>
            <w:noWrap w:val="0"/>
            <w:vAlign w:val="center"/>
          </w:tcPr>
          <w:p w14:paraId="23136AC0">
            <w:pPr>
              <w:autoSpaceDE w:val="0"/>
              <w:autoSpaceDN w:val="0"/>
              <w:jc w:val="center"/>
              <w:rPr>
                <w:highlight w:val="none"/>
              </w:rPr>
            </w:pPr>
          </w:p>
        </w:tc>
        <w:tc>
          <w:tcPr>
            <w:tcW w:w="1380" w:type="dxa"/>
            <w:tcBorders>
              <w:top w:val="single" w:color="auto" w:sz="6" w:space="0"/>
              <w:left w:val="single" w:color="auto" w:sz="6" w:space="0"/>
              <w:bottom w:val="single" w:color="auto" w:sz="6" w:space="0"/>
              <w:right w:val="single" w:color="auto" w:sz="6" w:space="0"/>
            </w:tcBorders>
            <w:noWrap w:val="0"/>
            <w:vAlign w:val="center"/>
          </w:tcPr>
          <w:p w14:paraId="5A447583">
            <w:pPr>
              <w:autoSpaceDE w:val="0"/>
              <w:autoSpaceDN w:val="0"/>
              <w:jc w:val="center"/>
              <w:rPr>
                <w:highlight w:val="none"/>
              </w:rPr>
            </w:pPr>
          </w:p>
        </w:tc>
        <w:tc>
          <w:tcPr>
            <w:tcW w:w="2160" w:type="dxa"/>
            <w:tcBorders>
              <w:top w:val="single" w:color="auto" w:sz="6" w:space="0"/>
              <w:left w:val="single" w:color="auto" w:sz="6" w:space="0"/>
              <w:bottom w:val="single" w:color="auto" w:sz="6" w:space="0"/>
              <w:right w:val="single" w:color="auto" w:sz="6" w:space="0"/>
            </w:tcBorders>
            <w:noWrap w:val="0"/>
            <w:vAlign w:val="center"/>
          </w:tcPr>
          <w:p w14:paraId="1844638E">
            <w:pPr>
              <w:autoSpaceDE w:val="0"/>
              <w:autoSpaceDN w:val="0"/>
              <w:jc w:val="center"/>
              <w:rPr>
                <w:highlight w:val="none"/>
              </w:rPr>
            </w:pPr>
          </w:p>
        </w:tc>
        <w:tc>
          <w:tcPr>
            <w:tcW w:w="540" w:type="dxa"/>
            <w:tcBorders>
              <w:top w:val="single" w:color="auto" w:sz="6" w:space="0"/>
              <w:left w:val="single" w:color="auto" w:sz="6" w:space="0"/>
              <w:bottom w:val="single" w:color="auto" w:sz="6" w:space="0"/>
              <w:right w:val="single" w:color="auto" w:sz="6" w:space="0"/>
            </w:tcBorders>
            <w:noWrap w:val="0"/>
            <w:vAlign w:val="center"/>
          </w:tcPr>
          <w:p w14:paraId="76592C83">
            <w:pPr>
              <w:autoSpaceDE w:val="0"/>
              <w:autoSpaceDN w:val="0"/>
              <w:jc w:val="center"/>
              <w:rPr>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11AFD8E2">
            <w:pPr>
              <w:autoSpaceDE w:val="0"/>
              <w:autoSpaceDN w:val="0"/>
              <w:jc w:val="center"/>
              <w:rPr>
                <w:highlight w:val="none"/>
              </w:rPr>
            </w:pPr>
          </w:p>
        </w:tc>
        <w:tc>
          <w:tcPr>
            <w:tcW w:w="1778" w:type="dxa"/>
            <w:tcBorders>
              <w:top w:val="single" w:color="auto" w:sz="6" w:space="0"/>
              <w:left w:val="single" w:color="auto" w:sz="6" w:space="0"/>
              <w:bottom w:val="single" w:color="auto" w:sz="6" w:space="0"/>
              <w:right w:val="single" w:color="auto" w:sz="6" w:space="0"/>
            </w:tcBorders>
            <w:noWrap w:val="0"/>
            <w:vAlign w:val="center"/>
          </w:tcPr>
          <w:p w14:paraId="6E08E539">
            <w:pPr>
              <w:autoSpaceDE w:val="0"/>
              <w:autoSpaceDN w:val="0"/>
              <w:jc w:val="center"/>
              <w:rPr>
                <w:highlight w:val="none"/>
              </w:rPr>
            </w:pPr>
          </w:p>
        </w:tc>
      </w:tr>
      <w:tr w14:paraId="0D648E4F">
        <w:tblPrEx>
          <w:tblCellMar>
            <w:top w:w="0" w:type="dxa"/>
            <w:left w:w="30" w:type="dxa"/>
            <w:bottom w:w="0" w:type="dxa"/>
            <w:right w:w="30" w:type="dxa"/>
          </w:tblCellMar>
        </w:tblPrEx>
        <w:trPr>
          <w:trHeight w:val="450" w:hRule="atLeast"/>
          <w:jc w:val="center"/>
        </w:trPr>
        <w:tc>
          <w:tcPr>
            <w:tcW w:w="2245" w:type="dxa"/>
            <w:tcBorders>
              <w:top w:val="single" w:color="auto" w:sz="6" w:space="0"/>
              <w:left w:val="single" w:color="auto" w:sz="6" w:space="0"/>
              <w:bottom w:val="single" w:color="auto" w:sz="6" w:space="0"/>
              <w:right w:val="single" w:color="auto" w:sz="6" w:space="0"/>
            </w:tcBorders>
            <w:noWrap w:val="0"/>
            <w:vAlign w:val="center"/>
          </w:tcPr>
          <w:p w14:paraId="1CCFB3AD">
            <w:pPr>
              <w:autoSpaceDE w:val="0"/>
              <w:autoSpaceDN w:val="0"/>
              <w:jc w:val="center"/>
              <w:rPr>
                <w:highlight w:val="none"/>
              </w:rPr>
            </w:pPr>
          </w:p>
        </w:tc>
        <w:tc>
          <w:tcPr>
            <w:tcW w:w="1380" w:type="dxa"/>
            <w:tcBorders>
              <w:top w:val="single" w:color="auto" w:sz="6" w:space="0"/>
              <w:left w:val="single" w:color="auto" w:sz="6" w:space="0"/>
              <w:bottom w:val="single" w:color="auto" w:sz="6" w:space="0"/>
              <w:right w:val="single" w:color="auto" w:sz="6" w:space="0"/>
            </w:tcBorders>
            <w:noWrap w:val="0"/>
            <w:vAlign w:val="center"/>
          </w:tcPr>
          <w:p w14:paraId="7E3BDA9F">
            <w:pPr>
              <w:autoSpaceDE w:val="0"/>
              <w:autoSpaceDN w:val="0"/>
              <w:jc w:val="center"/>
              <w:rPr>
                <w:highlight w:val="none"/>
              </w:rPr>
            </w:pPr>
          </w:p>
        </w:tc>
        <w:tc>
          <w:tcPr>
            <w:tcW w:w="2160" w:type="dxa"/>
            <w:tcBorders>
              <w:top w:val="single" w:color="auto" w:sz="6" w:space="0"/>
              <w:left w:val="single" w:color="auto" w:sz="6" w:space="0"/>
              <w:bottom w:val="single" w:color="auto" w:sz="6" w:space="0"/>
              <w:right w:val="single" w:color="auto" w:sz="6" w:space="0"/>
            </w:tcBorders>
            <w:noWrap w:val="0"/>
            <w:vAlign w:val="center"/>
          </w:tcPr>
          <w:p w14:paraId="77E7DED5">
            <w:pPr>
              <w:autoSpaceDE w:val="0"/>
              <w:autoSpaceDN w:val="0"/>
              <w:jc w:val="center"/>
              <w:rPr>
                <w:highlight w:val="none"/>
              </w:rPr>
            </w:pPr>
          </w:p>
        </w:tc>
        <w:tc>
          <w:tcPr>
            <w:tcW w:w="540" w:type="dxa"/>
            <w:tcBorders>
              <w:top w:val="single" w:color="auto" w:sz="6" w:space="0"/>
              <w:left w:val="single" w:color="auto" w:sz="6" w:space="0"/>
              <w:bottom w:val="single" w:color="auto" w:sz="6" w:space="0"/>
              <w:right w:val="single" w:color="auto" w:sz="6" w:space="0"/>
            </w:tcBorders>
            <w:noWrap w:val="0"/>
            <w:vAlign w:val="center"/>
          </w:tcPr>
          <w:p w14:paraId="62CD6035">
            <w:pPr>
              <w:autoSpaceDE w:val="0"/>
              <w:autoSpaceDN w:val="0"/>
              <w:jc w:val="center"/>
              <w:rPr>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5D57240B">
            <w:pPr>
              <w:autoSpaceDE w:val="0"/>
              <w:autoSpaceDN w:val="0"/>
              <w:jc w:val="center"/>
              <w:rPr>
                <w:highlight w:val="none"/>
              </w:rPr>
            </w:pPr>
          </w:p>
        </w:tc>
        <w:tc>
          <w:tcPr>
            <w:tcW w:w="1778" w:type="dxa"/>
            <w:tcBorders>
              <w:top w:val="single" w:color="auto" w:sz="6" w:space="0"/>
              <w:left w:val="single" w:color="auto" w:sz="6" w:space="0"/>
              <w:bottom w:val="single" w:color="auto" w:sz="6" w:space="0"/>
              <w:right w:val="single" w:color="auto" w:sz="6" w:space="0"/>
            </w:tcBorders>
            <w:noWrap w:val="0"/>
            <w:vAlign w:val="center"/>
          </w:tcPr>
          <w:p w14:paraId="696C40BB">
            <w:pPr>
              <w:autoSpaceDE w:val="0"/>
              <w:autoSpaceDN w:val="0"/>
              <w:jc w:val="center"/>
              <w:rPr>
                <w:highlight w:val="none"/>
              </w:rPr>
            </w:pPr>
          </w:p>
        </w:tc>
      </w:tr>
      <w:tr w14:paraId="596FE3B2">
        <w:tblPrEx>
          <w:tblCellMar>
            <w:top w:w="0" w:type="dxa"/>
            <w:left w:w="30" w:type="dxa"/>
            <w:bottom w:w="0" w:type="dxa"/>
            <w:right w:w="30" w:type="dxa"/>
          </w:tblCellMar>
        </w:tblPrEx>
        <w:trPr>
          <w:trHeight w:val="450" w:hRule="atLeast"/>
          <w:jc w:val="center"/>
        </w:trPr>
        <w:tc>
          <w:tcPr>
            <w:tcW w:w="2245" w:type="dxa"/>
            <w:tcBorders>
              <w:top w:val="single" w:color="auto" w:sz="6" w:space="0"/>
              <w:left w:val="single" w:color="auto" w:sz="6" w:space="0"/>
              <w:bottom w:val="single" w:color="auto" w:sz="6" w:space="0"/>
              <w:right w:val="single" w:color="auto" w:sz="6" w:space="0"/>
            </w:tcBorders>
            <w:noWrap w:val="0"/>
            <w:vAlign w:val="center"/>
          </w:tcPr>
          <w:p w14:paraId="6CA878DD">
            <w:pPr>
              <w:autoSpaceDE w:val="0"/>
              <w:autoSpaceDN w:val="0"/>
              <w:jc w:val="center"/>
              <w:rPr>
                <w:highlight w:val="none"/>
              </w:rPr>
            </w:pPr>
          </w:p>
        </w:tc>
        <w:tc>
          <w:tcPr>
            <w:tcW w:w="1380" w:type="dxa"/>
            <w:tcBorders>
              <w:top w:val="single" w:color="auto" w:sz="6" w:space="0"/>
              <w:left w:val="single" w:color="auto" w:sz="6" w:space="0"/>
              <w:bottom w:val="single" w:color="auto" w:sz="6" w:space="0"/>
              <w:right w:val="single" w:color="auto" w:sz="6" w:space="0"/>
            </w:tcBorders>
            <w:noWrap w:val="0"/>
            <w:vAlign w:val="center"/>
          </w:tcPr>
          <w:p w14:paraId="7720424C">
            <w:pPr>
              <w:autoSpaceDE w:val="0"/>
              <w:autoSpaceDN w:val="0"/>
              <w:jc w:val="center"/>
              <w:rPr>
                <w:highlight w:val="none"/>
              </w:rPr>
            </w:pPr>
          </w:p>
        </w:tc>
        <w:tc>
          <w:tcPr>
            <w:tcW w:w="2160" w:type="dxa"/>
            <w:tcBorders>
              <w:top w:val="single" w:color="auto" w:sz="6" w:space="0"/>
              <w:left w:val="single" w:color="auto" w:sz="6" w:space="0"/>
              <w:bottom w:val="single" w:color="auto" w:sz="6" w:space="0"/>
              <w:right w:val="single" w:color="auto" w:sz="6" w:space="0"/>
            </w:tcBorders>
            <w:noWrap w:val="0"/>
            <w:vAlign w:val="center"/>
          </w:tcPr>
          <w:p w14:paraId="6150F09D">
            <w:pPr>
              <w:autoSpaceDE w:val="0"/>
              <w:autoSpaceDN w:val="0"/>
              <w:jc w:val="center"/>
              <w:rPr>
                <w:highlight w:val="none"/>
              </w:rPr>
            </w:pPr>
          </w:p>
        </w:tc>
        <w:tc>
          <w:tcPr>
            <w:tcW w:w="540" w:type="dxa"/>
            <w:tcBorders>
              <w:top w:val="single" w:color="auto" w:sz="6" w:space="0"/>
              <w:left w:val="single" w:color="auto" w:sz="6" w:space="0"/>
              <w:bottom w:val="single" w:color="auto" w:sz="6" w:space="0"/>
              <w:right w:val="single" w:color="auto" w:sz="6" w:space="0"/>
            </w:tcBorders>
            <w:noWrap w:val="0"/>
            <w:vAlign w:val="center"/>
          </w:tcPr>
          <w:p w14:paraId="455390B4">
            <w:pPr>
              <w:autoSpaceDE w:val="0"/>
              <w:autoSpaceDN w:val="0"/>
              <w:jc w:val="center"/>
              <w:rPr>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560EFF70">
            <w:pPr>
              <w:autoSpaceDE w:val="0"/>
              <w:autoSpaceDN w:val="0"/>
              <w:jc w:val="center"/>
              <w:rPr>
                <w:highlight w:val="none"/>
              </w:rPr>
            </w:pPr>
          </w:p>
        </w:tc>
        <w:tc>
          <w:tcPr>
            <w:tcW w:w="1778" w:type="dxa"/>
            <w:tcBorders>
              <w:top w:val="single" w:color="auto" w:sz="6" w:space="0"/>
              <w:left w:val="single" w:color="auto" w:sz="6" w:space="0"/>
              <w:bottom w:val="single" w:color="auto" w:sz="6" w:space="0"/>
              <w:right w:val="single" w:color="auto" w:sz="6" w:space="0"/>
            </w:tcBorders>
            <w:noWrap w:val="0"/>
            <w:vAlign w:val="center"/>
          </w:tcPr>
          <w:p w14:paraId="1BE75B61">
            <w:pPr>
              <w:autoSpaceDE w:val="0"/>
              <w:autoSpaceDN w:val="0"/>
              <w:jc w:val="center"/>
              <w:rPr>
                <w:highlight w:val="none"/>
              </w:rPr>
            </w:pPr>
          </w:p>
        </w:tc>
      </w:tr>
      <w:tr w14:paraId="7CF9ECA9">
        <w:tblPrEx>
          <w:tblCellMar>
            <w:top w:w="0" w:type="dxa"/>
            <w:left w:w="30" w:type="dxa"/>
            <w:bottom w:w="0" w:type="dxa"/>
            <w:right w:w="30" w:type="dxa"/>
          </w:tblCellMar>
        </w:tblPrEx>
        <w:trPr>
          <w:trHeight w:val="450" w:hRule="atLeast"/>
          <w:jc w:val="center"/>
        </w:trPr>
        <w:tc>
          <w:tcPr>
            <w:tcW w:w="2245" w:type="dxa"/>
            <w:tcBorders>
              <w:top w:val="single" w:color="auto" w:sz="6" w:space="0"/>
              <w:left w:val="single" w:color="auto" w:sz="6" w:space="0"/>
              <w:bottom w:val="single" w:color="auto" w:sz="6" w:space="0"/>
              <w:right w:val="single" w:color="auto" w:sz="6" w:space="0"/>
            </w:tcBorders>
            <w:noWrap w:val="0"/>
            <w:vAlign w:val="center"/>
          </w:tcPr>
          <w:p w14:paraId="17DECF57">
            <w:pPr>
              <w:autoSpaceDE w:val="0"/>
              <w:autoSpaceDN w:val="0"/>
              <w:jc w:val="center"/>
              <w:rPr>
                <w:highlight w:val="none"/>
              </w:rPr>
            </w:pPr>
          </w:p>
        </w:tc>
        <w:tc>
          <w:tcPr>
            <w:tcW w:w="1380" w:type="dxa"/>
            <w:tcBorders>
              <w:top w:val="single" w:color="auto" w:sz="6" w:space="0"/>
              <w:left w:val="single" w:color="auto" w:sz="6" w:space="0"/>
              <w:bottom w:val="single" w:color="auto" w:sz="6" w:space="0"/>
              <w:right w:val="single" w:color="auto" w:sz="6" w:space="0"/>
            </w:tcBorders>
            <w:noWrap w:val="0"/>
            <w:vAlign w:val="center"/>
          </w:tcPr>
          <w:p w14:paraId="68A87054">
            <w:pPr>
              <w:autoSpaceDE w:val="0"/>
              <w:autoSpaceDN w:val="0"/>
              <w:jc w:val="center"/>
              <w:rPr>
                <w:highlight w:val="none"/>
              </w:rPr>
            </w:pPr>
          </w:p>
        </w:tc>
        <w:tc>
          <w:tcPr>
            <w:tcW w:w="2160" w:type="dxa"/>
            <w:tcBorders>
              <w:top w:val="single" w:color="auto" w:sz="6" w:space="0"/>
              <w:left w:val="single" w:color="auto" w:sz="6" w:space="0"/>
              <w:bottom w:val="single" w:color="auto" w:sz="6" w:space="0"/>
              <w:right w:val="single" w:color="auto" w:sz="6" w:space="0"/>
            </w:tcBorders>
            <w:noWrap w:val="0"/>
            <w:vAlign w:val="center"/>
          </w:tcPr>
          <w:p w14:paraId="52B5F06A">
            <w:pPr>
              <w:autoSpaceDE w:val="0"/>
              <w:autoSpaceDN w:val="0"/>
              <w:jc w:val="center"/>
              <w:rPr>
                <w:highlight w:val="none"/>
              </w:rPr>
            </w:pPr>
          </w:p>
        </w:tc>
        <w:tc>
          <w:tcPr>
            <w:tcW w:w="540" w:type="dxa"/>
            <w:tcBorders>
              <w:top w:val="single" w:color="auto" w:sz="6" w:space="0"/>
              <w:left w:val="single" w:color="auto" w:sz="6" w:space="0"/>
              <w:bottom w:val="single" w:color="auto" w:sz="6" w:space="0"/>
              <w:right w:val="single" w:color="auto" w:sz="6" w:space="0"/>
            </w:tcBorders>
            <w:noWrap w:val="0"/>
            <w:vAlign w:val="center"/>
          </w:tcPr>
          <w:p w14:paraId="53B65FC9">
            <w:pPr>
              <w:autoSpaceDE w:val="0"/>
              <w:autoSpaceDN w:val="0"/>
              <w:jc w:val="center"/>
              <w:rPr>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1D426104">
            <w:pPr>
              <w:autoSpaceDE w:val="0"/>
              <w:autoSpaceDN w:val="0"/>
              <w:jc w:val="center"/>
              <w:rPr>
                <w:highlight w:val="none"/>
              </w:rPr>
            </w:pPr>
          </w:p>
        </w:tc>
        <w:tc>
          <w:tcPr>
            <w:tcW w:w="1778" w:type="dxa"/>
            <w:tcBorders>
              <w:top w:val="single" w:color="auto" w:sz="6" w:space="0"/>
              <w:left w:val="single" w:color="auto" w:sz="6" w:space="0"/>
              <w:bottom w:val="single" w:color="auto" w:sz="6" w:space="0"/>
              <w:right w:val="single" w:color="auto" w:sz="6" w:space="0"/>
            </w:tcBorders>
            <w:noWrap w:val="0"/>
            <w:vAlign w:val="center"/>
          </w:tcPr>
          <w:p w14:paraId="2A5F8FA7">
            <w:pPr>
              <w:autoSpaceDE w:val="0"/>
              <w:autoSpaceDN w:val="0"/>
              <w:jc w:val="center"/>
              <w:rPr>
                <w:highlight w:val="none"/>
              </w:rPr>
            </w:pPr>
          </w:p>
        </w:tc>
      </w:tr>
      <w:tr w14:paraId="23F2551E">
        <w:tblPrEx>
          <w:tblCellMar>
            <w:top w:w="0" w:type="dxa"/>
            <w:left w:w="30" w:type="dxa"/>
            <w:bottom w:w="0" w:type="dxa"/>
            <w:right w:w="30" w:type="dxa"/>
          </w:tblCellMar>
        </w:tblPrEx>
        <w:trPr>
          <w:trHeight w:val="450" w:hRule="atLeast"/>
          <w:jc w:val="center"/>
        </w:trPr>
        <w:tc>
          <w:tcPr>
            <w:tcW w:w="2245" w:type="dxa"/>
            <w:tcBorders>
              <w:top w:val="single" w:color="auto" w:sz="6" w:space="0"/>
              <w:left w:val="single" w:color="auto" w:sz="6" w:space="0"/>
              <w:bottom w:val="single" w:color="auto" w:sz="6" w:space="0"/>
              <w:right w:val="single" w:color="auto" w:sz="6" w:space="0"/>
            </w:tcBorders>
            <w:noWrap w:val="0"/>
            <w:vAlign w:val="center"/>
          </w:tcPr>
          <w:p w14:paraId="3F765EBF">
            <w:pPr>
              <w:autoSpaceDE w:val="0"/>
              <w:autoSpaceDN w:val="0"/>
              <w:jc w:val="center"/>
              <w:rPr>
                <w:highlight w:val="none"/>
              </w:rPr>
            </w:pPr>
          </w:p>
        </w:tc>
        <w:tc>
          <w:tcPr>
            <w:tcW w:w="1380" w:type="dxa"/>
            <w:tcBorders>
              <w:top w:val="single" w:color="auto" w:sz="6" w:space="0"/>
              <w:left w:val="single" w:color="auto" w:sz="6" w:space="0"/>
              <w:bottom w:val="single" w:color="auto" w:sz="6" w:space="0"/>
              <w:right w:val="single" w:color="auto" w:sz="6" w:space="0"/>
            </w:tcBorders>
            <w:noWrap w:val="0"/>
            <w:vAlign w:val="center"/>
          </w:tcPr>
          <w:p w14:paraId="259FB84B">
            <w:pPr>
              <w:autoSpaceDE w:val="0"/>
              <w:autoSpaceDN w:val="0"/>
              <w:jc w:val="center"/>
              <w:rPr>
                <w:highlight w:val="none"/>
              </w:rPr>
            </w:pPr>
          </w:p>
        </w:tc>
        <w:tc>
          <w:tcPr>
            <w:tcW w:w="2160" w:type="dxa"/>
            <w:tcBorders>
              <w:top w:val="single" w:color="auto" w:sz="6" w:space="0"/>
              <w:left w:val="single" w:color="auto" w:sz="6" w:space="0"/>
              <w:bottom w:val="single" w:color="auto" w:sz="6" w:space="0"/>
              <w:right w:val="single" w:color="auto" w:sz="6" w:space="0"/>
            </w:tcBorders>
            <w:noWrap w:val="0"/>
            <w:vAlign w:val="center"/>
          </w:tcPr>
          <w:p w14:paraId="3AB6C72D">
            <w:pPr>
              <w:autoSpaceDE w:val="0"/>
              <w:autoSpaceDN w:val="0"/>
              <w:jc w:val="center"/>
              <w:rPr>
                <w:highlight w:val="none"/>
              </w:rPr>
            </w:pPr>
          </w:p>
        </w:tc>
        <w:tc>
          <w:tcPr>
            <w:tcW w:w="540" w:type="dxa"/>
            <w:tcBorders>
              <w:top w:val="single" w:color="auto" w:sz="6" w:space="0"/>
              <w:left w:val="single" w:color="auto" w:sz="6" w:space="0"/>
              <w:bottom w:val="single" w:color="auto" w:sz="6" w:space="0"/>
              <w:right w:val="single" w:color="auto" w:sz="6" w:space="0"/>
            </w:tcBorders>
            <w:noWrap w:val="0"/>
            <w:vAlign w:val="center"/>
          </w:tcPr>
          <w:p w14:paraId="721DC8F2">
            <w:pPr>
              <w:autoSpaceDE w:val="0"/>
              <w:autoSpaceDN w:val="0"/>
              <w:jc w:val="center"/>
              <w:rPr>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786F7004">
            <w:pPr>
              <w:autoSpaceDE w:val="0"/>
              <w:autoSpaceDN w:val="0"/>
              <w:jc w:val="center"/>
              <w:rPr>
                <w:highlight w:val="none"/>
              </w:rPr>
            </w:pPr>
          </w:p>
        </w:tc>
        <w:tc>
          <w:tcPr>
            <w:tcW w:w="1778" w:type="dxa"/>
            <w:tcBorders>
              <w:top w:val="single" w:color="auto" w:sz="6" w:space="0"/>
              <w:left w:val="single" w:color="auto" w:sz="6" w:space="0"/>
              <w:bottom w:val="single" w:color="auto" w:sz="6" w:space="0"/>
              <w:right w:val="single" w:color="auto" w:sz="6" w:space="0"/>
            </w:tcBorders>
            <w:noWrap w:val="0"/>
            <w:vAlign w:val="center"/>
          </w:tcPr>
          <w:p w14:paraId="3709F496">
            <w:pPr>
              <w:autoSpaceDE w:val="0"/>
              <w:autoSpaceDN w:val="0"/>
              <w:jc w:val="center"/>
              <w:rPr>
                <w:highlight w:val="none"/>
              </w:rPr>
            </w:pPr>
          </w:p>
        </w:tc>
      </w:tr>
      <w:tr w14:paraId="621E3A71">
        <w:tblPrEx>
          <w:tblCellMar>
            <w:top w:w="0" w:type="dxa"/>
            <w:left w:w="30" w:type="dxa"/>
            <w:bottom w:w="0" w:type="dxa"/>
            <w:right w:w="30" w:type="dxa"/>
          </w:tblCellMar>
        </w:tblPrEx>
        <w:trPr>
          <w:trHeight w:val="450" w:hRule="atLeast"/>
          <w:jc w:val="center"/>
        </w:trPr>
        <w:tc>
          <w:tcPr>
            <w:tcW w:w="2245" w:type="dxa"/>
            <w:tcBorders>
              <w:top w:val="single" w:color="auto" w:sz="6" w:space="0"/>
              <w:left w:val="single" w:color="auto" w:sz="6" w:space="0"/>
              <w:bottom w:val="single" w:color="auto" w:sz="6" w:space="0"/>
              <w:right w:val="single" w:color="auto" w:sz="6" w:space="0"/>
            </w:tcBorders>
            <w:noWrap w:val="0"/>
            <w:vAlign w:val="center"/>
          </w:tcPr>
          <w:p w14:paraId="47A66219">
            <w:pPr>
              <w:autoSpaceDE w:val="0"/>
              <w:autoSpaceDN w:val="0"/>
              <w:jc w:val="center"/>
              <w:rPr>
                <w:highlight w:val="none"/>
              </w:rPr>
            </w:pPr>
            <w:r>
              <w:rPr>
                <w:highlight w:val="none"/>
              </w:rPr>
              <w:t>合计</w:t>
            </w:r>
          </w:p>
        </w:tc>
        <w:tc>
          <w:tcPr>
            <w:tcW w:w="6578" w:type="dxa"/>
            <w:gridSpan w:val="5"/>
            <w:tcBorders>
              <w:top w:val="single" w:color="auto" w:sz="6" w:space="0"/>
              <w:left w:val="single" w:color="auto" w:sz="6" w:space="0"/>
              <w:bottom w:val="single" w:color="auto" w:sz="6" w:space="0"/>
              <w:right w:val="single" w:color="auto" w:sz="6" w:space="0"/>
            </w:tcBorders>
            <w:noWrap w:val="0"/>
            <w:vAlign w:val="center"/>
          </w:tcPr>
          <w:p w14:paraId="17E0AEF9">
            <w:pPr>
              <w:autoSpaceDE w:val="0"/>
              <w:autoSpaceDN w:val="0"/>
              <w:jc w:val="center"/>
              <w:rPr>
                <w:highlight w:val="none"/>
              </w:rPr>
            </w:pPr>
          </w:p>
        </w:tc>
      </w:tr>
    </w:tbl>
    <w:p w14:paraId="2FB93885">
      <w:pPr>
        <w:rPr>
          <w:rFonts w:ascii="Times New Roman" w:hAnsi="Times New Roman"/>
          <w:sz w:val="24"/>
          <w:szCs w:val="24"/>
          <w:highlight w:val="none"/>
        </w:rPr>
      </w:pPr>
    </w:p>
    <w:p w14:paraId="0463CEC4">
      <w:pPr>
        <w:pStyle w:val="4"/>
        <w:spacing w:line="500" w:lineRule="exact"/>
        <w:ind w:left="15" w:leftChars="-50" w:hanging="120" w:hangingChars="50"/>
        <w:rPr>
          <w:sz w:val="24"/>
          <w:szCs w:val="24"/>
          <w:highlight w:val="none"/>
        </w:rPr>
      </w:pPr>
      <w:r>
        <w:rPr>
          <w:sz w:val="24"/>
          <w:szCs w:val="24"/>
          <w:highlight w:val="none"/>
        </w:rPr>
        <w:t>供应商名称（公章）：</w:t>
      </w:r>
      <w:r>
        <w:rPr>
          <w:sz w:val="24"/>
          <w:szCs w:val="24"/>
          <w:highlight w:val="none"/>
          <w:u w:val="single"/>
        </w:rPr>
        <w:t xml:space="preserve">                     </w:t>
      </w:r>
      <w:r>
        <w:rPr>
          <w:sz w:val="24"/>
          <w:szCs w:val="24"/>
          <w:highlight w:val="none"/>
        </w:rPr>
        <w:t xml:space="preserve">    </w:t>
      </w:r>
    </w:p>
    <w:p w14:paraId="5A4B3CCD">
      <w:pPr>
        <w:pStyle w:val="4"/>
        <w:spacing w:line="500" w:lineRule="exact"/>
        <w:ind w:left="15" w:leftChars="-50" w:hanging="120" w:hangingChars="50"/>
        <w:rPr>
          <w:sz w:val="24"/>
          <w:szCs w:val="24"/>
          <w:highlight w:val="none"/>
        </w:rPr>
      </w:pPr>
    </w:p>
    <w:p w14:paraId="7050637A">
      <w:pPr>
        <w:pStyle w:val="4"/>
        <w:spacing w:line="500" w:lineRule="exact"/>
        <w:ind w:left="15" w:leftChars="-50" w:hanging="120" w:hangingChars="50"/>
        <w:rPr>
          <w:sz w:val="24"/>
          <w:szCs w:val="24"/>
          <w:highlight w:val="none"/>
        </w:rPr>
      </w:pPr>
      <w:r>
        <w:rPr>
          <w:sz w:val="24"/>
          <w:szCs w:val="24"/>
          <w:highlight w:val="none"/>
        </w:rPr>
        <w:t>法定代表人（授权代表）签字：</w:t>
      </w:r>
      <w:r>
        <w:rPr>
          <w:sz w:val="24"/>
          <w:szCs w:val="24"/>
          <w:highlight w:val="none"/>
          <w:u w:val="single"/>
        </w:rPr>
        <w:t xml:space="preserve">              </w:t>
      </w:r>
    </w:p>
    <w:p w14:paraId="64F1E33B">
      <w:pPr>
        <w:spacing w:line="500" w:lineRule="exact"/>
        <w:ind w:hanging="315"/>
        <w:jc w:val="right"/>
        <w:rPr>
          <w:rFonts w:ascii="Times New Roman" w:hAnsi="Times New Roman"/>
          <w:sz w:val="24"/>
          <w:highlight w:val="none"/>
        </w:rPr>
      </w:pPr>
      <w:r>
        <w:rPr>
          <w:rFonts w:ascii="Times New Roman" w:hAnsi="Times New Roman"/>
          <w:sz w:val="24"/>
          <w:szCs w:val="24"/>
          <w:highlight w:val="none"/>
        </w:rPr>
        <w:t xml:space="preserve">                                </w:t>
      </w:r>
      <w:r>
        <w:rPr>
          <w:rFonts w:ascii="Times New Roman" w:hAnsi="Times New Roman"/>
          <w:sz w:val="24"/>
          <w:highlight w:val="none"/>
        </w:rPr>
        <w:t xml:space="preserve">                                            日期：</w:t>
      </w:r>
      <w:r>
        <w:rPr>
          <w:rFonts w:ascii="Times New Roman" w:hAnsi="Times New Roman"/>
          <w:sz w:val="24"/>
          <w:highlight w:val="none"/>
          <w:u w:val="single"/>
        </w:rPr>
        <w:t xml:space="preserve">     </w:t>
      </w:r>
      <w:r>
        <w:rPr>
          <w:rFonts w:ascii="Times New Roman" w:hAnsi="Times New Roman"/>
          <w:sz w:val="24"/>
          <w:highlight w:val="none"/>
        </w:rPr>
        <w:t xml:space="preserve"> 年</w:t>
      </w:r>
      <w:r>
        <w:rPr>
          <w:rFonts w:ascii="Times New Roman" w:hAnsi="Times New Roman"/>
          <w:sz w:val="24"/>
          <w:highlight w:val="none"/>
          <w:u w:val="single"/>
        </w:rPr>
        <w:t xml:space="preserve">     </w:t>
      </w:r>
      <w:r>
        <w:rPr>
          <w:rFonts w:ascii="Times New Roman" w:hAnsi="Times New Roman"/>
          <w:sz w:val="24"/>
          <w:highlight w:val="none"/>
        </w:rPr>
        <w:t>月</w:t>
      </w:r>
      <w:r>
        <w:rPr>
          <w:rFonts w:ascii="Times New Roman" w:hAnsi="Times New Roman"/>
          <w:sz w:val="24"/>
          <w:highlight w:val="none"/>
          <w:u w:val="single"/>
        </w:rPr>
        <w:t xml:space="preserve">     </w:t>
      </w:r>
      <w:r>
        <w:rPr>
          <w:rFonts w:ascii="Times New Roman" w:hAnsi="Times New Roman"/>
          <w:sz w:val="24"/>
          <w:highlight w:val="none"/>
        </w:rPr>
        <w:t>日</w:t>
      </w:r>
    </w:p>
    <w:p w14:paraId="4C7571B7">
      <w:pPr>
        <w:rPr>
          <w:rFonts w:ascii="Times New Roman" w:hAnsi="Times New Roman"/>
          <w:sz w:val="24"/>
          <w:szCs w:val="24"/>
          <w:highlight w:val="none"/>
        </w:rPr>
      </w:pPr>
    </w:p>
    <w:p w14:paraId="0CBA9537">
      <w:pPr>
        <w:rPr>
          <w:rFonts w:ascii="Times New Roman" w:hAnsi="Times New Roman"/>
          <w:sz w:val="24"/>
          <w:szCs w:val="24"/>
          <w:highlight w:val="none"/>
        </w:rPr>
      </w:pPr>
    </w:p>
    <w:p w14:paraId="03B54BBA">
      <w:pPr>
        <w:rPr>
          <w:rFonts w:ascii="Times New Roman" w:hAnsi="Times New Roman"/>
          <w:sz w:val="24"/>
          <w:szCs w:val="24"/>
          <w:highlight w:val="none"/>
        </w:rPr>
      </w:pPr>
      <w:r>
        <w:rPr>
          <w:rFonts w:ascii="Times New Roman" w:hAnsi="Times New Roman"/>
          <w:sz w:val="24"/>
          <w:szCs w:val="24"/>
          <w:highlight w:val="none"/>
        </w:rPr>
        <w:t>填写说明：</w:t>
      </w:r>
    </w:p>
    <w:p w14:paraId="08E2E5A6">
      <w:pPr>
        <w:spacing w:line="400" w:lineRule="exact"/>
        <w:ind w:firstLine="480" w:firstLineChars="200"/>
        <w:rPr>
          <w:rFonts w:ascii="Times New Roman" w:hAnsi="Times New Roman"/>
          <w:sz w:val="24"/>
          <w:szCs w:val="24"/>
          <w:highlight w:val="none"/>
        </w:rPr>
      </w:pPr>
      <w:r>
        <w:rPr>
          <w:rFonts w:ascii="Times New Roman" w:hAnsi="Times New Roman"/>
          <w:sz w:val="24"/>
          <w:szCs w:val="24"/>
          <w:highlight w:val="none"/>
        </w:rPr>
        <w:t>1、此表为表样，行数可自行添加，但表式不变；</w:t>
      </w:r>
    </w:p>
    <w:p w14:paraId="08E11205">
      <w:pPr>
        <w:spacing w:line="400" w:lineRule="exact"/>
        <w:ind w:firstLine="480" w:firstLineChars="200"/>
        <w:rPr>
          <w:rFonts w:hint="eastAsia" w:ascii="Times New Roman" w:hAnsi="Times New Roman"/>
          <w:sz w:val="24"/>
          <w:szCs w:val="24"/>
          <w:highlight w:val="none"/>
        </w:rPr>
      </w:pPr>
      <w:r>
        <w:rPr>
          <w:rFonts w:ascii="Times New Roman" w:hAnsi="Times New Roman"/>
          <w:sz w:val="24"/>
          <w:szCs w:val="24"/>
          <w:highlight w:val="none"/>
        </w:rPr>
        <w:t>2、相关调换费用、质保后续服务及其他所有费用由供应商自行计算填列。</w:t>
      </w:r>
    </w:p>
    <w:p w14:paraId="1872E91D">
      <w:pPr>
        <w:pStyle w:val="69"/>
        <w:rPr>
          <w:highlight w:val="none"/>
        </w:rPr>
      </w:pPr>
    </w:p>
    <w:p w14:paraId="77D40436">
      <w:pPr>
        <w:pStyle w:val="5"/>
        <w:spacing w:before="0" w:after="0" w:line="538" w:lineRule="exact"/>
        <w:ind w:firstLine="482" w:firstLineChars="150"/>
        <w:jc w:val="center"/>
        <w:rPr>
          <w:highlight w:val="none"/>
        </w:rPr>
      </w:pPr>
      <w:r>
        <w:rPr>
          <w:highlight w:val="none"/>
        </w:rPr>
        <w:br w:type="page"/>
      </w:r>
      <w:r>
        <w:rPr>
          <w:rFonts w:hint="eastAsia"/>
          <w:highlight w:val="none"/>
        </w:rPr>
        <w:t>2．</w:t>
      </w:r>
      <w:r>
        <w:rPr>
          <w:highlight w:val="none"/>
        </w:rPr>
        <w:t>投 标 函</w:t>
      </w:r>
    </w:p>
    <w:p w14:paraId="7EBA5603">
      <w:pPr>
        <w:pStyle w:val="111"/>
        <w:spacing w:before="0" w:after="0" w:line="420" w:lineRule="exact"/>
        <w:ind w:firstLine="0"/>
        <w:rPr>
          <w:rFonts w:ascii="Times New Roman" w:hAnsi="Times New Roman"/>
          <w:kern w:val="2"/>
          <w:szCs w:val="21"/>
          <w:highlight w:val="none"/>
        </w:rPr>
      </w:pPr>
      <w:r>
        <w:rPr>
          <w:rFonts w:ascii="Times New Roman" w:hAnsi="Times New Roman"/>
          <w:kern w:val="2"/>
          <w:szCs w:val="21"/>
          <w:highlight w:val="none"/>
        </w:rPr>
        <w:t>致：江苏省体育装备中心</w:t>
      </w:r>
    </w:p>
    <w:p w14:paraId="67351144">
      <w:pPr>
        <w:pStyle w:val="111"/>
        <w:spacing w:before="0" w:after="0" w:line="420" w:lineRule="exact"/>
        <w:ind w:firstLineChars="200"/>
        <w:rPr>
          <w:rFonts w:ascii="Times New Roman" w:hAnsi="Times New Roman"/>
          <w:kern w:val="2"/>
          <w:szCs w:val="21"/>
          <w:highlight w:val="none"/>
        </w:rPr>
      </w:pPr>
      <w:r>
        <w:rPr>
          <w:rFonts w:ascii="Times New Roman" w:hAnsi="Times New Roman"/>
          <w:kern w:val="2"/>
          <w:szCs w:val="21"/>
          <w:highlight w:val="none"/>
        </w:rPr>
        <w:t>根据贵方</w:t>
      </w:r>
      <w:r>
        <w:rPr>
          <w:rFonts w:ascii="Times New Roman" w:hAnsi="Times New Roman"/>
          <w:kern w:val="2"/>
          <w:szCs w:val="21"/>
          <w:highlight w:val="none"/>
          <w:u w:val="single"/>
        </w:rPr>
        <w:t xml:space="preserve">         </w:t>
      </w:r>
      <w:r>
        <w:rPr>
          <w:rFonts w:hint="eastAsia" w:ascii="Times New Roman" w:hAnsi="Times New Roman"/>
          <w:kern w:val="2"/>
          <w:szCs w:val="21"/>
          <w:highlight w:val="none"/>
        </w:rPr>
        <w:t>（项目名称、项目编号）的招标邀请</w:t>
      </w:r>
      <w:r>
        <w:rPr>
          <w:rFonts w:ascii="Times New Roman" w:hAnsi="Times New Roman"/>
          <w:kern w:val="2"/>
          <w:szCs w:val="21"/>
          <w:highlight w:val="none"/>
        </w:rPr>
        <w:t>，正式授权下述签字人</w:t>
      </w:r>
      <w:r>
        <w:rPr>
          <w:rFonts w:ascii="Times New Roman" w:hAnsi="Times New Roman"/>
          <w:kern w:val="2"/>
          <w:szCs w:val="21"/>
          <w:highlight w:val="none"/>
          <w:u w:val="single"/>
        </w:rPr>
        <w:t xml:space="preserve">           </w:t>
      </w:r>
      <w:r>
        <w:rPr>
          <w:rFonts w:ascii="Times New Roman" w:hAnsi="Times New Roman"/>
          <w:kern w:val="2"/>
          <w:szCs w:val="21"/>
          <w:highlight w:val="none"/>
        </w:rPr>
        <w:t xml:space="preserve">  (姓名和职务)代表我方________（供应商名称），</w:t>
      </w:r>
      <w:r>
        <w:rPr>
          <w:rFonts w:hint="eastAsia" w:ascii="Times New Roman" w:hAnsi="Times New Roman"/>
          <w:kern w:val="2"/>
          <w:szCs w:val="21"/>
          <w:highlight w:val="none"/>
        </w:rPr>
        <w:t>提交纸质版投标文件（正本一式壹份，副本一式</w:t>
      </w:r>
      <w:r>
        <w:rPr>
          <w:rFonts w:hint="eastAsia" w:ascii="Times New Roman" w:hAnsi="Times New Roman"/>
          <w:kern w:val="2"/>
          <w:szCs w:val="21"/>
          <w:highlight w:val="none"/>
          <w:lang w:val="en-US" w:eastAsia="zh-CN"/>
        </w:rPr>
        <w:t>肆</w:t>
      </w:r>
      <w:r>
        <w:rPr>
          <w:rFonts w:hint="eastAsia" w:ascii="Times New Roman" w:hAnsi="Times New Roman"/>
          <w:kern w:val="2"/>
          <w:szCs w:val="21"/>
          <w:highlight w:val="none"/>
        </w:rPr>
        <w:t>份）和</w:t>
      </w:r>
      <w:r>
        <w:rPr>
          <w:rFonts w:hint="eastAsia"/>
          <w:highlight w:val="none"/>
        </w:rPr>
        <w:t>电子版投标文件（</w:t>
      </w:r>
      <w:r>
        <w:rPr>
          <w:rFonts w:hint="eastAsia" w:ascii="Times New Roman" w:hAnsi="Times New Roman"/>
          <w:kern w:val="2"/>
          <w:szCs w:val="21"/>
          <w:highlight w:val="none"/>
        </w:rPr>
        <w:t>一式壹份）。</w:t>
      </w:r>
    </w:p>
    <w:p w14:paraId="2BD74F32">
      <w:pPr>
        <w:pStyle w:val="111"/>
        <w:spacing w:before="0" w:after="0" w:line="420" w:lineRule="exact"/>
        <w:ind w:firstLineChars="200"/>
        <w:rPr>
          <w:rFonts w:ascii="Times New Roman" w:hAnsi="Times New Roman"/>
          <w:kern w:val="2"/>
          <w:szCs w:val="21"/>
          <w:highlight w:val="none"/>
        </w:rPr>
      </w:pPr>
      <w:r>
        <w:rPr>
          <w:rFonts w:ascii="Times New Roman" w:hAnsi="Times New Roman"/>
          <w:kern w:val="2"/>
          <w:szCs w:val="21"/>
          <w:highlight w:val="none"/>
        </w:rPr>
        <w:t>据此函，</w:t>
      </w:r>
      <w:r>
        <w:rPr>
          <w:rFonts w:ascii="Times New Roman" w:hAnsi="Times New Roman"/>
          <w:kern w:val="2"/>
          <w:szCs w:val="21"/>
          <w:highlight w:val="none"/>
          <w:u w:val="single"/>
        </w:rPr>
        <w:t xml:space="preserve">           </w:t>
      </w:r>
      <w:r>
        <w:rPr>
          <w:rFonts w:ascii="Times New Roman" w:hAnsi="Times New Roman"/>
          <w:kern w:val="2"/>
          <w:szCs w:val="21"/>
          <w:highlight w:val="none"/>
        </w:rPr>
        <w:t>签字人兹宣布同意如下：</w:t>
      </w:r>
    </w:p>
    <w:p w14:paraId="39076425">
      <w:pPr>
        <w:pStyle w:val="111"/>
        <w:spacing w:before="0" w:after="0" w:line="420" w:lineRule="exact"/>
        <w:ind w:firstLineChars="200"/>
        <w:rPr>
          <w:rFonts w:ascii="Times New Roman" w:hAnsi="Times New Roman"/>
          <w:kern w:val="2"/>
          <w:szCs w:val="21"/>
          <w:highlight w:val="none"/>
        </w:rPr>
      </w:pPr>
      <w:r>
        <w:rPr>
          <w:rFonts w:ascii="Times New Roman" w:hAnsi="Times New Roman"/>
          <w:kern w:val="2"/>
          <w:szCs w:val="21"/>
          <w:highlight w:val="none"/>
        </w:rPr>
        <w:t>1、按招标文件规定的各项要求，向采购人提供所需货物与服务。</w:t>
      </w:r>
    </w:p>
    <w:p w14:paraId="51BFD49E">
      <w:pPr>
        <w:pStyle w:val="111"/>
        <w:spacing w:before="0" w:after="0" w:line="420" w:lineRule="exact"/>
        <w:ind w:firstLineChars="200"/>
        <w:rPr>
          <w:rFonts w:ascii="Times New Roman" w:hAnsi="Times New Roman"/>
          <w:kern w:val="2"/>
          <w:szCs w:val="21"/>
          <w:highlight w:val="none"/>
        </w:rPr>
      </w:pPr>
      <w:r>
        <w:rPr>
          <w:rFonts w:ascii="Times New Roman" w:hAnsi="Times New Roman"/>
          <w:kern w:val="2"/>
          <w:szCs w:val="21"/>
          <w:highlight w:val="none"/>
        </w:rPr>
        <w:t>2、我们同意向贵方提供贵方可能要求的与本次项目采购有关的任何证据或资料，并保证我方已提供和将要提供的文件是真实的、准确的。</w:t>
      </w:r>
    </w:p>
    <w:p w14:paraId="3F6D5985">
      <w:pPr>
        <w:pStyle w:val="111"/>
        <w:spacing w:before="0" w:after="0" w:line="420" w:lineRule="exact"/>
        <w:ind w:firstLineChars="200"/>
        <w:rPr>
          <w:rFonts w:ascii="Times New Roman" w:hAnsi="Times New Roman"/>
          <w:kern w:val="2"/>
          <w:szCs w:val="21"/>
          <w:highlight w:val="none"/>
        </w:rPr>
      </w:pPr>
      <w:r>
        <w:rPr>
          <w:rFonts w:ascii="Times New Roman" w:hAnsi="Times New Roman"/>
          <w:kern w:val="2"/>
          <w:szCs w:val="21"/>
          <w:highlight w:val="none"/>
        </w:rPr>
        <w:t>3、我们完全理解贵方不一定将合同授予最低报价的供应商。</w:t>
      </w:r>
    </w:p>
    <w:p w14:paraId="0465F5C6">
      <w:pPr>
        <w:pStyle w:val="111"/>
        <w:spacing w:before="0" w:after="0" w:line="420" w:lineRule="exact"/>
        <w:ind w:firstLineChars="200"/>
        <w:rPr>
          <w:rFonts w:ascii="Times New Roman" w:hAnsi="Times New Roman"/>
          <w:kern w:val="2"/>
          <w:szCs w:val="21"/>
          <w:highlight w:val="none"/>
        </w:rPr>
      </w:pPr>
      <w:r>
        <w:rPr>
          <w:rFonts w:ascii="Times New Roman" w:hAnsi="Times New Roman"/>
          <w:kern w:val="2"/>
          <w:szCs w:val="21"/>
          <w:highlight w:val="none"/>
        </w:rPr>
        <w:t>4、我们已详细审核全部招标文件及其有效补充文件，我们知道必须放弃提出含糊不清或误解问题的权利。</w:t>
      </w:r>
    </w:p>
    <w:p w14:paraId="2629BCEF">
      <w:pPr>
        <w:pStyle w:val="111"/>
        <w:spacing w:before="0" w:after="0" w:line="420" w:lineRule="exact"/>
        <w:rPr>
          <w:rFonts w:ascii="Times New Roman" w:hAnsi="Times New Roman"/>
          <w:kern w:val="2"/>
          <w:szCs w:val="21"/>
          <w:highlight w:val="none"/>
        </w:rPr>
      </w:pPr>
      <w:r>
        <w:rPr>
          <w:rFonts w:ascii="Times New Roman" w:hAnsi="Times New Roman"/>
          <w:kern w:val="2"/>
          <w:szCs w:val="21"/>
          <w:highlight w:val="none"/>
        </w:rPr>
        <w:t>5、我们同意从规定的开标日期起遵循本投标文件，并在规定的投标有效期（六十天）期满之前均具有约束力。</w:t>
      </w:r>
    </w:p>
    <w:p w14:paraId="641D9363">
      <w:pPr>
        <w:pStyle w:val="111"/>
        <w:spacing w:before="0" w:after="0" w:line="420" w:lineRule="exact"/>
        <w:ind w:firstLineChars="200"/>
        <w:rPr>
          <w:rFonts w:ascii="Times New Roman" w:hAnsi="Times New Roman"/>
          <w:kern w:val="2"/>
          <w:szCs w:val="21"/>
          <w:highlight w:val="none"/>
        </w:rPr>
      </w:pPr>
      <w:r>
        <w:rPr>
          <w:rFonts w:ascii="Times New Roman" w:hAnsi="Times New Roman"/>
          <w:kern w:val="2"/>
          <w:szCs w:val="21"/>
          <w:highlight w:val="none"/>
        </w:rPr>
        <w:t>6、一旦我方</w:t>
      </w:r>
      <w:r>
        <w:rPr>
          <w:rFonts w:hint="eastAsia" w:ascii="Times New Roman" w:hAnsi="Times New Roman"/>
          <w:kern w:val="2"/>
          <w:szCs w:val="21"/>
          <w:highlight w:val="none"/>
        </w:rPr>
        <w:t>中标</w:t>
      </w:r>
      <w:r>
        <w:rPr>
          <w:rFonts w:ascii="Times New Roman" w:hAnsi="Times New Roman"/>
          <w:kern w:val="2"/>
          <w:szCs w:val="21"/>
          <w:highlight w:val="none"/>
        </w:rPr>
        <w:t>，我方将根据招标文件的规定，严格履行合同的责任和义务，并保证在承诺的时间内完成项目，交付</w:t>
      </w:r>
      <w:r>
        <w:rPr>
          <w:rFonts w:hint="eastAsia" w:ascii="Times New Roman" w:hAnsi="Times New Roman"/>
          <w:kern w:val="2"/>
          <w:szCs w:val="21"/>
          <w:highlight w:val="none"/>
        </w:rPr>
        <w:t>采购人</w:t>
      </w:r>
      <w:r>
        <w:rPr>
          <w:rFonts w:ascii="Times New Roman" w:hAnsi="Times New Roman"/>
          <w:kern w:val="2"/>
          <w:szCs w:val="21"/>
          <w:highlight w:val="none"/>
        </w:rPr>
        <w:t>验收、使用。</w:t>
      </w:r>
    </w:p>
    <w:p w14:paraId="493DD93C">
      <w:pPr>
        <w:pStyle w:val="111"/>
        <w:spacing w:before="0" w:after="0" w:line="420" w:lineRule="exact"/>
        <w:ind w:firstLineChars="200"/>
        <w:rPr>
          <w:rFonts w:ascii="Times New Roman" w:hAnsi="Times New Roman"/>
          <w:kern w:val="2"/>
          <w:szCs w:val="21"/>
          <w:highlight w:val="none"/>
        </w:rPr>
      </w:pPr>
      <w:r>
        <w:rPr>
          <w:rFonts w:ascii="Times New Roman" w:hAnsi="Times New Roman"/>
          <w:kern w:val="2"/>
          <w:szCs w:val="21"/>
          <w:highlight w:val="none"/>
        </w:rPr>
        <w:t>7、与本次投标有关的正式通讯地址为：</w:t>
      </w:r>
    </w:p>
    <w:p w14:paraId="7C60762C">
      <w:pPr>
        <w:pStyle w:val="111"/>
        <w:spacing w:before="0" w:after="0" w:line="480" w:lineRule="exact"/>
        <w:ind w:firstLineChars="200"/>
        <w:rPr>
          <w:rFonts w:ascii="Times New Roman" w:hAnsi="Times New Roman"/>
          <w:kern w:val="2"/>
          <w:szCs w:val="21"/>
          <w:highlight w:val="none"/>
        </w:rPr>
      </w:pPr>
      <w:r>
        <w:rPr>
          <w:rFonts w:ascii="Times New Roman" w:hAnsi="Times New Roman"/>
          <w:kern w:val="2"/>
          <w:szCs w:val="21"/>
          <w:highlight w:val="none"/>
        </w:rPr>
        <w:t>供应商名称：</w:t>
      </w:r>
      <w:r>
        <w:rPr>
          <w:rFonts w:ascii="Times New Roman" w:hAnsi="Times New Roman"/>
          <w:kern w:val="2"/>
          <w:szCs w:val="21"/>
          <w:highlight w:val="none"/>
          <w:u w:val="single"/>
        </w:rPr>
        <w:t xml:space="preserve">                 （公章）</w:t>
      </w:r>
    </w:p>
    <w:p w14:paraId="61B275CB">
      <w:pPr>
        <w:pStyle w:val="111"/>
        <w:spacing w:before="0" w:after="0" w:line="480" w:lineRule="exact"/>
        <w:ind w:firstLineChars="200"/>
        <w:rPr>
          <w:rFonts w:ascii="Times New Roman" w:hAnsi="Times New Roman"/>
          <w:kern w:val="2"/>
          <w:szCs w:val="21"/>
          <w:highlight w:val="none"/>
        </w:rPr>
      </w:pPr>
      <w:r>
        <w:rPr>
          <w:rFonts w:ascii="Times New Roman" w:hAnsi="Times New Roman"/>
          <w:kern w:val="2"/>
          <w:szCs w:val="21"/>
          <w:highlight w:val="none"/>
        </w:rPr>
        <w:t>地址：</w:t>
      </w:r>
      <w:r>
        <w:rPr>
          <w:rFonts w:ascii="Times New Roman" w:hAnsi="Times New Roman"/>
          <w:kern w:val="2"/>
          <w:szCs w:val="21"/>
          <w:highlight w:val="none"/>
          <w:u w:val="single"/>
        </w:rPr>
        <w:t xml:space="preserve">                              </w:t>
      </w:r>
      <w:r>
        <w:rPr>
          <w:rFonts w:hint="eastAsia" w:ascii="Times New Roman" w:hAnsi="Times New Roman"/>
          <w:kern w:val="2"/>
          <w:szCs w:val="21"/>
          <w:highlight w:val="none"/>
          <w:u w:val="single"/>
        </w:rPr>
        <w:t xml:space="preserve"> </w:t>
      </w:r>
    </w:p>
    <w:p w14:paraId="5AF52E59">
      <w:pPr>
        <w:pStyle w:val="111"/>
        <w:spacing w:before="0" w:after="0" w:line="480" w:lineRule="exact"/>
        <w:ind w:firstLineChars="200"/>
        <w:rPr>
          <w:rFonts w:ascii="Times New Roman" w:hAnsi="Times New Roman"/>
          <w:kern w:val="2"/>
          <w:szCs w:val="21"/>
          <w:highlight w:val="none"/>
          <w:u w:val="single"/>
        </w:rPr>
      </w:pPr>
      <w:r>
        <w:rPr>
          <w:rFonts w:ascii="Times New Roman" w:hAnsi="Times New Roman"/>
          <w:kern w:val="2"/>
          <w:szCs w:val="21"/>
          <w:highlight w:val="none"/>
        </w:rPr>
        <w:t>电话：</w:t>
      </w:r>
      <w:r>
        <w:rPr>
          <w:rFonts w:ascii="Times New Roman" w:hAnsi="Times New Roman"/>
          <w:kern w:val="2"/>
          <w:szCs w:val="21"/>
          <w:highlight w:val="none"/>
          <w:u w:val="single"/>
        </w:rPr>
        <w:t xml:space="preserve">                            </w:t>
      </w:r>
      <w:r>
        <w:rPr>
          <w:rFonts w:hint="eastAsia" w:ascii="Times New Roman" w:hAnsi="Times New Roman"/>
          <w:kern w:val="2"/>
          <w:szCs w:val="21"/>
          <w:highlight w:val="none"/>
          <w:u w:val="single"/>
        </w:rPr>
        <w:t xml:space="preserve"> </w:t>
      </w:r>
      <w:r>
        <w:rPr>
          <w:rFonts w:ascii="Times New Roman" w:hAnsi="Times New Roman"/>
          <w:kern w:val="2"/>
          <w:szCs w:val="21"/>
          <w:highlight w:val="none"/>
          <w:u w:val="single"/>
        </w:rPr>
        <w:t xml:space="preserve">  </w:t>
      </w:r>
    </w:p>
    <w:p w14:paraId="164256F2">
      <w:pPr>
        <w:pStyle w:val="111"/>
        <w:spacing w:before="0" w:after="0" w:line="480" w:lineRule="exact"/>
        <w:ind w:firstLineChars="200"/>
        <w:rPr>
          <w:rFonts w:ascii="Times New Roman" w:hAnsi="Times New Roman"/>
          <w:kern w:val="2"/>
          <w:szCs w:val="21"/>
          <w:highlight w:val="none"/>
        </w:rPr>
      </w:pPr>
      <w:r>
        <w:rPr>
          <w:rFonts w:ascii="Times New Roman" w:hAnsi="Times New Roman"/>
          <w:kern w:val="2"/>
          <w:szCs w:val="21"/>
          <w:highlight w:val="none"/>
        </w:rPr>
        <w:t>传真：</w:t>
      </w:r>
      <w:r>
        <w:rPr>
          <w:rFonts w:ascii="Times New Roman" w:hAnsi="Times New Roman"/>
          <w:kern w:val="2"/>
          <w:szCs w:val="21"/>
          <w:highlight w:val="none"/>
          <w:u w:val="single"/>
        </w:rPr>
        <w:t xml:space="preserve">                         </w:t>
      </w:r>
      <w:r>
        <w:rPr>
          <w:rFonts w:hint="eastAsia" w:ascii="Times New Roman" w:hAnsi="Times New Roman"/>
          <w:kern w:val="2"/>
          <w:szCs w:val="21"/>
          <w:highlight w:val="none"/>
          <w:u w:val="single"/>
        </w:rPr>
        <w:t xml:space="preserve"> </w:t>
      </w:r>
      <w:r>
        <w:rPr>
          <w:rFonts w:ascii="Times New Roman" w:hAnsi="Times New Roman"/>
          <w:kern w:val="2"/>
          <w:szCs w:val="21"/>
          <w:highlight w:val="none"/>
          <w:u w:val="single"/>
        </w:rPr>
        <w:t xml:space="preserve">     </w:t>
      </w:r>
    </w:p>
    <w:p w14:paraId="34D3D867">
      <w:pPr>
        <w:pStyle w:val="111"/>
        <w:spacing w:before="0" w:after="0" w:line="480" w:lineRule="exact"/>
        <w:ind w:firstLineChars="200"/>
        <w:rPr>
          <w:rFonts w:ascii="Times New Roman" w:hAnsi="Times New Roman"/>
          <w:kern w:val="2"/>
          <w:szCs w:val="21"/>
          <w:highlight w:val="none"/>
        </w:rPr>
      </w:pPr>
      <w:r>
        <w:rPr>
          <w:rFonts w:ascii="Times New Roman" w:hAnsi="Times New Roman"/>
          <w:kern w:val="2"/>
          <w:szCs w:val="21"/>
          <w:highlight w:val="none"/>
        </w:rPr>
        <w:t xml:space="preserve">邮箱: </w:t>
      </w:r>
      <w:r>
        <w:rPr>
          <w:rFonts w:ascii="Times New Roman" w:hAnsi="Times New Roman"/>
          <w:kern w:val="2"/>
          <w:szCs w:val="21"/>
          <w:highlight w:val="none"/>
          <w:u w:val="single"/>
        </w:rPr>
        <w:t xml:space="preserve">                         </w:t>
      </w:r>
      <w:r>
        <w:rPr>
          <w:rFonts w:hint="eastAsia" w:ascii="Times New Roman" w:hAnsi="Times New Roman"/>
          <w:kern w:val="2"/>
          <w:szCs w:val="21"/>
          <w:highlight w:val="none"/>
          <w:u w:val="single"/>
        </w:rPr>
        <w:t xml:space="preserve">  </w:t>
      </w:r>
      <w:r>
        <w:rPr>
          <w:rFonts w:ascii="Times New Roman" w:hAnsi="Times New Roman"/>
          <w:kern w:val="2"/>
          <w:szCs w:val="21"/>
          <w:highlight w:val="none"/>
          <w:u w:val="single"/>
        </w:rPr>
        <w:t xml:space="preserve">     </w:t>
      </w:r>
    </w:p>
    <w:p w14:paraId="0D6AD1BE">
      <w:pPr>
        <w:pStyle w:val="111"/>
        <w:spacing w:before="0" w:after="0" w:line="480" w:lineRule="exact"/>
        <w:ind w:firstLineChars="200"/>
        <w:rPr>
          <w:rFonts w:ascii="Times New Roman" w:hAnsi="Times New Roman"/>
          <w:kern w:val="2"/>
          <w:szCs w:val="21"/>
          <w:highlight w:val="none"/>
        </w:rPr>
      </w:pPr>
      <w:r>
        <w:rPr>
          <w:rFonts w:hint="eastAsia" w:ascii="Times New Roman" w:hAnsi="Times New Roman"/>
          <w:kern w:val="2"/>
          <w:szCs w:val="21"/>
          <w:highlight w:val="none"/>
        </w:rPr>
        <w:t>开户名：</w:t>
      </w:r>
      <w:r>
        <w:rPr>
          <w:rFonts w:ascii="Times New Roman" w:hAnsi="Times New Roman"/>
          <w:kern w:val="2"/>
          <w:szCs w:val="21"/>
          <w:highlight w:val="none"/>
          <w:u w:val="single"/>
        </w:rPr>
        <w:t xml:space="preserve">                      </w:t>
      </w:r>
      <w:r>
        <w:rPr>
          <w:rFonts w:hint="eastAsia" w:ascii="Times New Roman" w:hAnsi="Times New Roman"/>
          <w:kern w:val="2"/>
          <w:szCs w:val="21"/>
          <w:highlight w:val="none"/>
          <w:u w:val="single"/>
        </w:rPr>
        <w:t xml:space="preserve">  </w:t>
      </w:r>
      <w:r>
        <w:rPr>
          <w:rFonts w:ascii="Times New Roman" w:hAnsi="Times New Roman"/>
          <w:kern w:val="2"/>
          <w:szCs w:val="21"/>
          <w:highlight w:val="none"/>
          <w:u w:val="single"/>
        </w:rPr>
        <w:t xml:space="preserve">     </w:t>
      </w:r>
    </w:p>
    <w:p w14:paraId="55DA881F">
      <w:pPr>
        <w:pStyle w:val="111"/>
        <w:spacing w:before="0" w:after="0" w:line="480" w:lineRule="exact"/>
        <w:ind w:firstLineChars="200"/>
        <w:rPr>
          <w:rFonts w:ascii="Times New Roman" w:hAnsi="Times New Roman"/>
          <w:kern w:val="2"/>
          <w:szCs w:val="21"/>
          <w:highlight w:val="none"/>
          <w:u w:val="single"/>
        </w:rPr>
      </w:pPr>
      <w:r>
        <w:rPr>
          <w:rFonts w:ascii="Times New Roman" w:hAnsi="Times New Roman"/>
          <w:kern w:val="2"/>
          <w:szCs w:val="21"/>
          <w:highlight w:val="none"/>
        </w:rPr>
        <w:t>开户行：</w:t>
      </w:r>
      <w:r>
        <w:rPr>
          <w:rFonts w:ascii="Times New Roman" w:hAnsi="Times New Roman"/>
          <w:kern w:val="2"/>
          <w:szCs w:val="21"/>
          <w:highlight w:val="none"/>
          <w:u w:val="single"/>
        </w:rPr>
        <w:t xml:space="preserve">                       </w:t>
      </w:r>
      <w:r>
        <w:rPr>
          <w:rFonts w:hint="eastAsia" w:ascii="Times New Roman" w:hAnsi="Times New Roman"/>
          <w:kern w:val="2"/>
          <w:szCs w:val="21"/>
          <w:highlight w:val="none"/>
          <w:u w:val="single"/>
        </w:rPr>
        <w:t xml:space="preserve">  </w:t>
      </w:r>
      <w:r>
        <w:rPr>
          <w:rFonts w:ascii="Times New Roman" w:hAnsi="Times New Roman"/>
          <w:kern w:val="2"/>
          <w:szCs w:val="21"/>
          <w:highlight w:val="none"/>
          <w:u w:val="single"/>
        </w:rPr>
        <w:t xml:space="preserve">    </w:t>
      </w:r>
    </w:p>
    <w:p w14:paraId="303DCD88">
      <w:pPr>
        <w:pStyle w:val="111"/>
        <w:spacing w:before="0" w:after="0" w:line="480" w:lineRule="exact"/>
        <w:ind w:firstLineChars="200"/>
        <w:rPr>
          <w:rFonts w:ascii="Times New Roman" w:hAnsi="Times New Roman"/>
          <w:kern w:val="2"/>
          <w:szCs w:val="21"/>
          <w:highlight w:val="none"/>
        </w:rPr>
      </w:pPr>
      <w:r>
        <w:rPr>
          <w:rFonts w:ascii="Times New Roman" w:hAnsi="Times New Roman"/>
          <w:kern w:val="2"/>
          <w:szCs w:val="21"/>
          <w:highlight w:val="none"/>
        </w:rPr>
        <w:t>帐户：</w:t>
      </w:r>
      <w:r>
        <w:rPr>
          <w:rFonts w:ascii="Times New Roman" w:hAnsi="Times New Roman"/>
          <w:kern w:val="2"/>
          <w:szCs w:val="21"/>
          <w:highlight w:val="none"/>
          <w:u w:val="single"/>
        </w:rPr>
        <w:t xml:space="preserve">                           </w:t>
      </w:r>
      <w:r>
        <w:rPr>
          <w:rFonts w:hint="eastAsia" w:ascii="Times New Roman" w:hAnsi="Times New Roman"/>
          <w:kern w:val="2"/>
          <w:szCs w:val="21"/>
          <w:highlight w:val="none"/>
          <w:u w:val="single"/>
        </w:rPr>
        <w:t xml:space="preserve"> </w:t>
      </w:r>
      <w:r>
        <w:rPr>
          <w:rFonts w:ascii="Times New Roman" w:hAnsi="Times New Roman"/>
          <w:kern w:val="2"/>
          <w:szCs w:val="21"/>
          <w:highlight w:val="none"/>
          <w:u w:val="single"/>
        </w:rPr>
        <w:t xml:space="preserve">   </w:t>
      </w:r>
    </w:p>
    <w:p w14:paraId="7CD09A2A">
      <w:pPr>
        <w:pStyle w:val="111"/>
        <w:spacing w:before="0" w:after="0" w:line="480" w:lineRule="exact"/>
        <w:ind w:firstLineChars="200"/>
        <w:rPr>
          <w:rFonts w:ascii="Times New Roman" w:hAnsi="Times New Roman"/>
          <w:kern w:val="2"/>
          <w:szCs w:val="21"/>
          <w:highlight w:val="none"/>
        </w:rPr>
      </w:pPr>
      <w:r>
        <w:rPr>
          <w:rFonts w:ascii="Times New Roman" w:hAnsi="Times New Roman"/>
          <w:kern w:val="2"/>
          <w:szCs w:val="21"/>
          <w:highlight w:val="none"/>
        </w:rPr>
        <w:t>法定代表人或授权代表（签字）：</w:t>
      </w:r>
      <w:r>
        <w:rPr>
          <w:rFonts w:ascii="Times New Roman" w:hAnsi="Times New Roman"/>
          <w:kern w:val="2"/>
          <w:szCs w:val="21"/>
          <w:highlight w:val="none"/>
          <w:u w:val="single"/>
        </w:rPr>
        <w:t xml:space="preserve">    </w:t>
      </w:r>
      <w:r>
        <w:rPr>
          <w:rFonts w:hint="eastAsia" w:ascii="Times New Roman" w:hAnsi="Times New Roman"/>
          <w:kern w:val="2"/>
          <w:szCs w:val="21"/>
          <w:highlight w:val="none"/>
          <w:u w:val="single"/>
        </w:rPr>
        <w:t xml:space="preserve"> </w:t>
      </w:r>
      <w:r>
        <w:rPr>
          <w:rFonts w:ascii="Times New Roman" w:hAnsi="Times New Roman"/>
          <w:kern w:val="2"/>
          <w:szCs w:val="21"/>
          <w:highlight w:val="none"/>
          <w:u w:val="single"/>
        </w:rPr>
        <w:t xml:space="preserve">  </w:t>
      </w:r>
    </w:p>
    <w:p w14:paraId="22CB67C7">
      <w:pPr>
        <w:spacing w:line="480" w:lineRule="exact"/>
        <w:ind w:firstLine="480" w:firstLineChars="200"/>
        <w:rPr>
          <w:sz w:val="24"/>
          <w:szCs w:val="21"/>
          <w:highlight w:val="none"/>
          <w:u w:val="single"/>
        </w:rPr>
      </w:pPr>
      <w:r>
        <w:rPr>
          <w:sz w:val="24"/>
          <w:szCs w:val="21"/>
          <w:highlight w:val="none"/>
        </w:rPr>
        <w:t>日期：</w:t>
      </w:r>
      <w:r>
        <w:rPr>
          <w:sz w:val="24"/>
          <w:szCs w:val="21"/>
          <w:highlight w:val="none"/>
          <w:u w:val="single"/>
        </w:rPr>
        <w:t xml:space="preserve">       年    月    日</w:t>
      </w:r>
      <w:r>
        <w:rPr>
          <w:rFonts w:hint="eastAsia"/>
          <w:sz w:val="24"/>
          <w:szCs w:val="21"/>
          <w:highlight w:val="none"/>
          <w:u w:val="single"/>
        </w:rPr>
        <w:t xml:space="preserve">  </w:t>
      </w:r>
    </w:p>
    <w:p w14:paraId="70854BA3">
      <w:pPr>
        <w:pStyle w:val="5"/>
        <w:spacing w:before="0" w:after="0" w:line="538" w:lineRule="exact"/>
        <w:ind w:firstLine="482" w:firstLineChars="150"/>
        <w:jc w:val="center"/>
        <w:rPr>
          <w:highlight w:val="none"/>
        </w:rPr>
      </w:pPr>
      <w:r>
        <w:rPr>
          <w:highlight w:val="none"/>
        </w:rPr>
        <w:br w:type="page"/>
      </w:r>
      <w:bookmarkStart w:id="207" w:name="_Toc481072021"/>
      <w:bookmarkStart w:id="208" w:name="_Toc481071975"/>
      <w:bookmarkStart w:id="209" w:name="_Toc475009305"/>
      <w:r>
        <w:rPr>
          <w:rFonts w:hint="eastAsia"/>
          <w:highlight w:val="none"/>
        </w:rPr>
        <w:t>3．法定代表人（单位负责人）身份证明</w:t>
      </w:r>
    </w:p>
    <w:p w14:paraId="797C8D11">
      <w:pPr>
        <w:spacing w:line="640" w:lineRule="exact"/>
        <w:ind w:firstLine="560" w:firstLineChars="200"/>
        <w:rPr>
          <w:sz w:val="28"/>
          <w:highlight w:val="none"/>
        </w:rPr>
      </w:pPr>
    </w:p>
    <w:p w14:paraId="15390C06">
      <w:pPr>
        <w:pStyle w:val="111"/>
        <w:spacing w:before="0" w:after="0" w:line="520" w:lineRule="exact"/>
        <w:ind w:firstLineChars="200"/>
        <w:rPr>
          <w:rFonts w:ascii="Times New Roman" w:hAnsi="Times New Roman"/>
          <w:kern w:val="2"/>
          <w:highlight w:val="none"/>
        </w:rPr>
      </w:pPr>
      <w:r>
        <w:rPr>
          <w:rFonts w:ascii="Times New Roman" w:hAnsi="Times New Roman"/>
          <w:kern w:val="2"/>
          <w:highlight w:val="none"/>
        </w:rPr>
        <w:t>单位名称：</w:t>
      </w:r>
      <w:r>
        <w:rPr>
          <w:rFonts w:ascii="Times New Roman" w:hAnsi="Times New Roman"/>
          <w:b/>
          <w:highlight w:val="none"/>
          <w:u w:val="single"/>
        </w:rPr>
        <w:t xml:space="preserve">                              </w:t>
      </w:r>
    </w:p>
    <w:p w14:paraId="38330D2F">
      <w:pPr>
        <w:pStyle w:val="111"/>
        <w:spacing w:before="0" w:after="0" w:line="520" w:lineRule="exact"/>
        <w:ind w:firstLineChars="200"/>
        <w:rPr>
          <w:rFonts w:ascii="Times New Roman" w:hAnsi="Times New Roman"/>
          <w:kern w:val="2"/>
          <w:highlight w:val="none"/>
        </w:rPr>
      </w:pPr>
      <w:r>
        <w:rPr>
          <w:rFonts w:ascii="Times New Roman" w:hAnsi="Times New Roman"/>
          <w:kern w:val="2"/>
          <w:highlight w:val="none"/>
        </w:rPr>
        <w:t>地址：</w:t>
      </w:r>
      <w:r>
        <w:rPr>
          <w:rFonts w:ascii="Times New Roman" w:hAnsi="Times New Roman"/>
          <w:b/>
          <w:highlight w:val="none"/>
          <w:u w:val="single"/>
        </w:rPr>
        <w:t xml:space="preserve">                              </w:t>
      </w:r>
    </w:p>
    <w:p w14:paraId="2E03DFF4">
      <w:pPr>
        <w:pStyle w:val="111"/>
        <w:spacing w:before="0" w:after="0" w:line="520" w:lineRule="exact"/>
        <w:ind w:firstLineChars="200"/>
        <w:rPr>
          <w:rFonts w:ascii="Times New Roman" w:hAnsi="Times New Roman"/>
          <w:kern w:val="2"/>
          <w:highlight w:val="none"/>
        </w:rPr>
      </w:pPr>
      <w:r>
        <w:rPr>
          <w:rFonts w:ascii="Times New Roman" w:hAnsi="Times New Roman"/>
          <w:kern w:val="2"/>
          <w:highlight w:val="none"/>
        </w:rPr>
        <w:t>姓名：</w:t>
      </w:r>
      <w:r>
        <w:rPr>
          <w:rFonts w:ascii="Times New Roman" w:hAnsi="Times New Roman"/>
          <w:b/>
          <w:highlight w:val="none"/>
          <w:u w:val="single"/>
        </w:rPr>
        <w:t xml:space="preserve">          </w:t>
      </w:r>
      <w:r>
        <w:rPr>
          <w:rFonts w:ascii="Times New Roman" w:hAnsi="Times New Roman"/>
          <w:kern w:val="2"/>
          <w:highlight w:val="none"/>
        </w:rPr>
        <w:t xml:space="preserve"> 性别：</w:t>
      </w:r>
      <w:r>
        <w:rPr>
          <w:rFonts w:ascii="Times New Roman" w:hAnsi="Times New Roman"/>
          <w:b/>
          <w:highlight w:val="none"/>
          <w:u w:val="single"/>
        </w:rPr>
        <w:t xml:space="preserve">          </w:t>
      </w:r>
      <w:r>
        <w:rPr>
          <w:rFonts w:ascii="Times New Roman" w:hAnsi="Times New Roman"/>
          <w:kern w:val="2"/>
          <w:highlight w:val="none"/>
        </w:rPr>
        <w:t>年龄：</w:t>
      </w:r>
      <w:r>
        <w:rPr>
          <w:rFonts w:ascii="Times New Roman" w:hAnsi="Times New Roman"/>
          <w:b/>
          <w:highlight w:val="none"/>
          <w:u w:val="single"/>
        </w:rPr>
        <w:t xml:space="preserve">          </w:t>
      </w:r>
      <w:r>
        <w:rPr>
          <w:rFonts w:ascii="Times New Roman" w:hAnsi="Times New Roman"/>
          <w:kern w:val="2"/>
          <w:highlight w:val="none"/>
        </w:rPr>
        <w:t>职务：</w:t>
      </w:r>
      <w:r>
        <w:rPr>
          <w:rFonts w:ascii="Times New Roman" w:hAnsi="Times New Roman"/>
          <w:b/>
          <w:highlight w:val="none"/>
          <w:u w:val="single"/>
        </w:rPr>
        <w:t xml:space="preserve">          </w:t>
      </w:r>
    </w:p>
    <w:p w14:paraId="3BC517EE">
      <w:pPr>
        <w:pStyle w:val="111"/>
        <w:spacing w:before="0" w:after="0" w:line="520" w:lineRule="exact"/>
        <w:ind w:firstLineChars="200"/>
        <w:rPr>
          <w:rFonts w:ascii="Times New Roman" w:hAnsi="Times New Roman"/>
          <w:kern w:val="2"/>
          <w:highlight w:val="none"/>
        </w:rPr>
      </w:pPr>
      <w:r>
        <w:rPr>
          <w:rFonts w:ascii="Times New Roman" w:hAnsi="Times New Roman"/>
          <w:kern w:val="2"/>
          <w:highlight w:val="none"/>
        </w:rPr>
        <w:t>系</w:t>
      </w:r>
      <w:r>
        <w:rPr>
          <w:rFonts w:ascii="Times New Roman" w:hAnsi="Times New Roman"/>
          <w:kern w:val="2"/>
          <w:highlight w:val="none"/>
          <w:u w:val="single"/>
        </w:rPr>
        <w:t xml:space="preserve"> （供应商名称）</w:t>
      </w:r>
      <w:r>
        <w:rPr>
          <w:rFonts w:ascii="Times New Roman" w:hAnsi="Times New Roman"/>
          <w:kern w:val="2"/>
          <w:highlight w:val="none"/>
        </w:rPr>
        <w:t>的法定代表人。</w:t>
      </w:r>
    </w:p>
    <w:p w14:paraId="2F7ADEE8">
      <w:pPr>
        <w:pStyle w:val="111"/>
        <w:spacing w:before="0" w:after="0" w:line="520" w:lineRule="exact"/>
        <w:ind w:firstLineChars="200"/>
        <w:rPr>
          <w:rFonts w:ascii="Times New Roman" w:hAnsi="Times New Roman"/>
          <w:kern w:val="2"/>
          <w:highlight w:val="none"/>
        </w:rPr>
      </w:pPr>
      <w:r>
        <w:rPr>
          <w:rFonts w:ascii="Times New Roman" w:hAnsi="Times New Roman"/>
          <w:kern w:val="2"/>
          <w:highlight w:val="none"/>
        </w:rPr>
        <w:t>特此证明。</w:t>
      </w:r>
    </w:p>
    <w:p w14:paraId="0C588E57">
      <w:pPr>
        <w:pStyle w:val="16"/>
        <w:ind w:left="400"/>
        <w:rPr>
          <w:rFonts w:ascii="Times New Roman" w:hAnsi="Times New Roman" w:eastAsia="宋体"/>
          <w:sz w:val="24"/>
          <w:szCs w:val="24"/>
          <w:highlight w:val="none"/>
        </w:rPr>
      </w:pPr>
    </w:p>
    <w:p w14:paraId="5A22962E">
      <w:pPr>
        <w:pStyle w:val="16"/>
        <w:ind w:left="400"/>
        <w:rPr>
          <w:highlight w:val="none"/>
        </w:rPr>
      </w:pPr>
      <w:r>
        <w:rPr>
          <w:rFonts w:ascii="Times New Roman" w:hAnsi="Times New Roman" w:eastAsia="宋体"/>
          <w:sz w:val="24"/>
          <w:szCs w:val="24"/>
          <w:highlight w:val="none"/>
        </w:rPr>
        <w:t>附：法定代表人（单位负责人）</w:t>
      </w:r>
      <w:r>
        <w:rPr>
          <w:rFonts w:hint="eastAsia" w:ascii="Times New Roman" w:hAnsi="Times New Roman" w:eastAsia="宋体"/>
          <w:sz w:val="24"/>
          <w:szCs w:val="24"/>
          <w:highlight w:val="none"/>
        </w:rPr>
        <w:t>有效</w:t>
      </w:r>
      <w:r>
        <w:rPr>
          <w:rFonts w:ascii="Times New Roman" w:hAnsi="Times New Roman" w:eastAsia="宋体"/>
          <w:sz w:val="24"/>
          <w:szCs w:val="24"/>
          <w:highlight w:val="none"/>
        </w:rPr>
        <w:t>期内的身份证复印件</w:t>
      </w:r>
      <w:r>
        <w:rPr>
          <w:rFonts w:hint="eastAsia" w:ascii="Times New Roman" w:hAnsi="Times New Roman" w:eastAsia="宋体"/>
          <w:sz w:val="24"/>
          <w:szCs w:val="24"/>
          <w:highlight w:val="none"/>
        </w:rPr>
        <w:t>（正</w:t>
      </w:r>
      <w:r>
        <w:rPr>
          <w:rFonts w:ascii="Times New Roman" w:hAnsi="Times New Roman" w:eastAsia="宋体"/>
          <w:sz w:val="24"/>
          <w:szCs w:val="24"/>
          <w:highlight w:val="none"/>
        </w:rPr>
        <w:t>反</w:t>
      </w:r>
      <w:r>
        <w:rPr>
          <w:rFonts w:hint="eastAsia" w:ascii="Times New Roman" w:hAnsi="Times New Roman" w:eastAsia="宋体"/>
          <w:sz w:val="24"/>
          <w:szCs w:val="24"/>
          <w:highlight w:val="none"/>
        </w:rPr>
        <w:t>面）</w:t>
      </w:r>
    </w:p>
    <w:tbl>
      <w:tblPr>
        <w:tblStyle w:val="37"/>
        <w:tblW w:w="453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7"/>
      </w:tblGrid>
      <w:tr w14:paraId="2F717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537" w:type="dxa"/>
            <w:noWrap w:val="0"/>
            <w:vAlign w:val="center"/>
          </w:tcPr>
          <w:p w14:paraId="667E2254">
            <w:pPr>
              <w:pStyle w:val="16"/>
              <w:jc w:val="center"/>
              <w:rPr>
                <w:i/>
                <w:sz w:val="20"/>
                <w:highlight w:val="none"/>
              </w:rPr>
            </w:pPr>
            <w:r>
              <w:rPr>
                <w:i/>
                <w:sz w:val="24"/>
                <w:highlight w:val="none"/>
              </w:rPr>
              <w:t>身份证正面</w:t>
            </w:r>
          </w:p>
        </w:tc>
      </w:tr>
    </w:tbl>
    <w:p w14:paraId="1A4612C6">
      <w:pPr>
        <w:rPr>
          <w:vanish/>
          <w:highlight w:val="none"/>
        </w:rPr>
      </w:pPr>
    </w:p>
    <w:tbl>
      <w:tblPr>
        <w:tblStyle w:val="37"/>
        <w:tblpPr w:leftFromText="180" w:rightFromText="180" w:vertAnchor="text" w:horzAnchor="page" w:tblpX="6313" w:tblpY="-2982"/>
        <w:tblW w:w="46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6"/>
      </w:tblGrid>
      <w:tr w14:paraId="7521A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7" w:hRule="atLeast"/>
        </w:trPr>
        <w:tc>
          <w:tcPr>
            <w:tcW w:w="4646" w:type="dxa"/>
            <w:noWrap w:val="0"/>
            <w:vAlign w:val="center"/>
          </w:tcPr>
          <w:p w14:paraId="35A1B51B">
            <w:pPr>
              <w:pStyle w:val="16"/>
              <w:jc w:val="center"/>
              <w:rPr>
                <w:sz w:val="20"/>
                <w:highlight w:val="none"/>
              </w:rPr>
            </w:pPr>
            <w:r>
              <w:rPr>
                <w:i/>
                <w:sz w:val="24"/>
                <w:highlight w:val="none"/>
              </w:rPr>
              <w:t>身份证反面</w:t>
            </w:r>
          </w:p>
        </w:tc>
      </w:tr>
    </w:tbl>
    <w:p w14:paraId="49FD3956">
      <w:pPr>
        <w:spacing w:line="640" w:lineRule="exact"/>
        <w:rPr>
          <w:sz w:val="28"/>
          <w:highlight w:val="none"/>
        </w:rPr>
      </w:pPr>
    </w:p>
    <w:p w14:paraId="269DCE7A">
      <w:pPr>
        <w:pStyle w:val="111"/>
        <w:spacing w:before="0" w:after="0" w:line="420" w:lineRule="exact"/>
        <w:ind w:firstLine="0"/>
        <w:jc w:val="center"/>
        <w:rPr>
          <w:rFonts w:ascii="Times New Roman" w:hAnsi="Times New Roman"/>
          <w:kern w:val="2"/>
          <w:szCs w:val="21"/>
          <w:highlight w:val="none"/>
        </w:rPr>
      </w:pPr>
      <w:r>
        <w:rPr>
          <w:rFonts w:ascii="Times New Roman" w:hAnsi="Times New Roman"/>
          <w:kern w:val="2"/>
          <w:szCs w:val="21"/>
          <w:highlight w:val="none"/>
        </w:rPr>
        <w:t xml:space="preserve">                      供应商名称（公章）：</w:t>
      </w:r>
    </w:p>
    <w:p w14:paraId="75329DBF">
      <w:pPr>
        <w:pStyle w:val="111"/>
        <w:spacing w:before="0" w:after="0" w:line="420" w:lineRule="exact"/>
        <w:ind w:firstLine="0"/>
        <w:jc w:val="center"/>
        <w:rPr>
          <w:rFonts w:ascii="Times New Roman" w:hAnsi="Times New Roman"/>
          <w:kern w:val="2"/>
          <w:szCs w:val="21"/>
          <w:highlight w:val="none"/>
        </w:rPr>
      </w:pPr>
    </w:p>
    <w:p w14:paraId="3EA2083E">
      <w:pPr>
        <w:pStyle w:val="111"/>
        <w:spacing w:before="0" w:after="0" w:line="420" w:lineRule="exact"/>
        <w:ind w:firstLineChars="200"/>
        <w:jc w:val="right"/>
        <w:rPr>
          <w:rFonts w:ascii="Times New Roman" w:hAnsi="Times New Roman"/>
          <w:kern w:val="2"/>
          <w:szCs w:val="21"/>
          <w:highlight w:val="none"/>
        </w:rPr>
      </w:pPr>
      <w:r>
        <w:rPr>
          <w:rFonts w:ascii="Times New Roman" w:hAnsi="Times New Roman"/>
          <w:kern w:val="2"/>
          <w:szCs w:val="21"/>
          <w:highlight w:val="none"/>
        </w:rPr>
        <w:t>日    期：</w:t>
      </w:r>
      <w:r>
        <w:rPr>
          <w:rFonts w:ascii="Times New Roman" w:hAnsi="Times New Roman"/>
          <w:kern w:val="2"/>
          <w:szCs w:val="21"/>
          <w:highlight w:val="none"/>
          <w:u w:val="single"/>
        </w:rPr>
        <w:t xml:space="preserve">       </w:t>
      </w:r>
      <w:r>
        <w:rPr>
          <w:rFonts w:ascii="Times New Roman" w:hAnsi="Times New Roman"/>
          <w:kern w:val="2"/>
          <w:szCs w:val="21"/>
          <w:highlight w:val="none"/>
        </w:rPr>
        <w:t>年</w:t>
      </w:r>
      <w:r>
        <w:rPr>
          <w:rFonts w:ascii="Times New Roman" w:hAnsi="Times New Roman"/>
          <w:kern w:val="2"/>
          <w:szCs w:val="21"/>
          <w:highlight w:val="none"/>
          <w:u w:val="single"/>
        </w:rPr>
        <w:t xml:space="preserve">    </w:t>
      </w:r>
      <w:r>
        <w:rPr>
          <w:rFonts w:ascii="Times New Roman" w:hAnsi="Times New Roman"/>
          <w:kern w:val="2"/>
          <w:szCs w:val="21"/>
          <w:highlight w:val="none"/>
        </w:rPr>
        <w:t>月</w:t>
      </w:r>
      <w:r>
        <w:rPr>
          <w:rFonts w:ascii="Times New Roman" w:hAnsi="Times New Roman"/>
          <w:kern w:val="2"/>
          <w:szCs w:val="21"/>
          <w:highlight w:val="none"/>
          <w:u w:val="single"/>
        </w:rPr>
        <w:t xml:space="preserve">    </w:t>
      </w:r>
      <w:r>
        <w:rPr>
          <w:rFonts w:ascii="Times New Roman" w:hAnsi="Times New Roman"/>
          <w:kern w:val="2"/>
          <w:szCs w:val="21"/>
          <w:highlight w:val="none"/>
        </w:rPr>
        <w:t xml:space="preserve">日                        </w:t>
      </w:r>
    </w:p>
    <w:p w14:paraId="3CC7436B">
      <w:pPr>
        <w:snapToGrid w:val="0"/>
        <w:spacing w:line="640" w:lineRule="exact"/>
        <w:ind w:firstLine="5320" w:firstLineChars="1900"/>
        <w:rPr>
          <w:sz w:val="28"/>
          <w:szCs w:val="28"/>
          <w:highlight w:val="none"/>
        </w:rPr>
      </w:pPr>
    </w:p>
    <w:p w14:paraId="3371CD37">
      <w:pPr>
        <w:spacing w:line="640" w:lineRule="exact"/>
        <w:ind w:firstLine="3204" w:firstLineChars="1140"/>
        <w:rPr>
          <w:b/>
          <w:bCs/>
          <w:sz w:val="28"/>
          <w:highlight w:val="none"/>
        </w:rPr>
      </w:pPr>
    </w:p>
    <w:p w14:paraId="6BEA7DA1">
      <w:pPr>
        <w:pStyle w:val="5"/>
        <w:spacing w:before="0" w:after="0" w:line="538" w:lineRule="exact"/>
        <w:ind w:firstLine="480" w:firstLineChars="150"/>
        <w:jc w:val="center"/>
        <w:rPr>
          <w:highlight w:val="none"/>
        </w:rPr>
      </w:pPr>
      <w:r>
        <w:rPr>
          <w:b w:val="0"/>
          <w:bCs w:val="0"/>
          <w:highlight w:val="none"/>
        </w:rPr>
        <w:br w:type="page"/>
      </w:r>
      <w:r>
        <w:rPr>
          <w:rFonts w:hint="eastAsia"/>
          <w:highlight w:val="none"/>
        </w:rPr>
        <w:t>4．法人</w:t>
      </w:r>
      <w:r>
        <w:rPr>
          <w:highlight w:val="none"/>
        </w:rPr>
        <w:t>授权委托书</w:t>
      </w:r>
    </w:p>
    <w:p w14:paraId="7E66E597">
      <w:pPr>
        <w:pStyle w:val="111"/>
        <w:spacing w:before="0" w:after="0" w:line="480" w:lineRule="exact"/>
        <w:ind w:firstLineChars="200"/>
        <w:rPr>
          <w:rFonts w:ascii="Times New Roman" w:hAnsi="Times New Roman"/>
          <w:kern w:val="2"/>
          <w:highlight w:val="none"/>
        </w:rPr>
      </w:pPr>
      <w:r>
        <w:rPr>
          <w:rFonts w:ascii="Times New Roman" w:hAnsi="Times New Roman"/>
          <w:kern w:val="2"/>
          <w:highlight w:val="none"/>
        </w:rPr>
        <w:t>本授权书声明：</w:t>
      </w:r>
      <w:r>
        <w:rPr>
          <w:rFonts w:hint="eastAsia" w:ascii="Times New Roman" w:hAnsi="Times New Roman"/>
          <w:kern w:val="2"/>
          <w:highlight w:val="none"/>
        </w:rPr>
        <w:t>我</w:t>
      </w:r>
      <w:r>
        <w:rPr>
          <w:rFonts w:hint="eastAsia" w:ascii="Times New Roman" w:hAnsi="Times New Roman"/>
          <w:kern w:val="2"/>
          <w:highlight w:val="none"/>
          <w:u w:val="single"/>
        </w:rPr>
        <w:t xml:space="preserve">     （姓名）</w:t>
      </w:r>
      <w:r>
        <w:rPr>
          <w:rFonts w:hint="eastAsia" w:ascii="Times New Roman" w:hAnsi="Times New Roman"/>
          <w:kern w:val="2"/>
          <w:highlight w:val="none"/>
        </w:rPr>
        <w:t>系</w:t>
      </w:r>
      <w:r>
        <w:rPr>
          <w:rFonts w:hint="eastAsia" w:ascii="Times New Roman" w:hAnsi="Times New Roman"/>
          <w:kern w:val="2"/>
          <w:highlight w:val="none"/>
          <w:u w:val="single"/>
        </w:rPr>
        <w:t xml:space="preserve">     </w:t>
      </w:r>
      <w:r>
        <w:rPr>
          <w:rFonts w:ascii="Times New Roman" w:hAnsi="Times New Roman"/>
          <w:kern w:val="2"/>
          <w:highlight w:val="none"/>
          <w:u w:val="single"/>
        </w:rPr>
        <w:t>（供应商名称）</w:t>
      </w:r>
      <w:r>
        <w:rPr>
          <w:rFonts w:hint="eastAsia" w:ascii="Times New Roman" w:hAnsi="Times New Roman"/>
          <w:kern w:val="2"/>
          <w:highlight w:val="none"/>
        </w:rPr>
        <w:t>的法定代表人，兹委派我单位</w:t>
      </w:r>
      <w:r>
        <w:rPr>
          <w:rFonts w:hint="eastAsia" w:ascii="Times New Roman" w:hAnsi="Times New Roman"/>
          <w:kern w:val="2"/>
          <w:highlight w:val="none"/>
          <w:u w:val="single"/>
        </w:rPr>
        <w:t xml:space="preserve">          （授权代表的姓名）</w:t>
      </w:r>
      <w:r>
        <w:rPr>
          <w:rFonts w:hint="eastAsia" w:ascii="Times New Roman" w:hAnsi="Times New Roman"/>
          <w:kern w:val="2"/>
          <w:highlight w:val="none"/>
        </w:rPr>
        <w:t>为本单位的合法代理人，就</w:t>
      </w:r>
      <w:r>
        <w:rPr>
          <w:rFonts w:hint="eastAsia" w:ascii="Times New Roman" w:hAnsi="Times New Roman"/>
          <w:kern w:val="2"/>
          <w:highlight w:val="none"/>
          <w:u w:val="single"/>
        </w:rPr>
        <w:t xml:space="preserve">          （项目名称、项目编号）</w:t>
      </w:r>
      <w:r>
        <w:rPr>
          <w:rFonts w:hint="eastAsia" w:ascii="Times New Roman" w:hAnsi="Times New Roman"/>
          <w:kern w:val="2"/>
          <w:highlight w:val="none"/>
        </w:rPr>
        <w:t>，</w:t>
      </w:r>
      <w:r>
        <w:rPr>
          <w:rFonts w:ascii="Times New Roman" w:hAnsi="Times New Roman"/>
          <w:kern w:val="2"/>
          <w:highlight w:val="none"/>
        </w:rPr>
        <w:t>以我单位名义签署上述项目的</w:t>
      </w:r>
      <w:r>
        <w:rPr>
          <w:rFonts w:hint="eastAsia" w:ascii="Times New Roman" w:hAnsi="Times New Roman"/>
          <w:kern w:val="2"/>
          <w:highlight w:val="none"/>
        </w:rPr>
        <w:t>投标</w:t>
      </w:r>
      <w:r>
        <w:rPr>
          <w:rFonts w:ascii="Times New Roman" w:hAnsi="Times New Roman"/>
          <w:kern w:val="2"/>
          <w:highlight w:val="none"/>
        </w:rPr>
        <w:t>文件、进行</w:t>
      </w:r>
      <w:r>
        <w:rPr>
          <w:rFonts w:hint="eastAsia" w:ascii="Times New Roman" w:hAnsi="Times New Roman"/>
          <w:kern w:val="2"/>
          <w:highlight w:val="none"/>
        </w:rPr>
        <w:t>投标</w:t>
      </w:r>
      <w:r>
        <w:rPr>
          <w:rFonts w:ascii="Times New Roman" w:hAnsi="Times New Roman"/>
          <w:kern w:val="2"/>
          <w:highlight w:val="none"/>
        </w:rPr>
        <w:t>、签署合同和处理与之有关的一切事务。</w:t>
      </w:r>
    </w:p>
    <w:p w14:paraId="6FC3A021">
      <w:pPr>
        <w:spacing w:line="480" w:lineRule="exact"/>
        <w:ind w:firstLine="480" w:firstLineChars="200"/>
        <w:rPr>
          <w:bCs/>
          <w:sz w:val="24"/>
          <w:highlight w:val="none"/>
        </w:rPr>
      </w:pPr>
      <w:r>
        <w:rPr>
          <w:bCs/>
          <w:sz w:val="24"/>
          <w:highlight w:val="none"/>
        </w:rPr>
        <w:t>受托人在办理上述事宜过程中以其自己的名义所签署的所有文件我单位均予以承认。受托人无转委托权。</w:t>
      </w:r>
    </w:p>
    <w:p w14:paraId="1D65C666">
      <w:pPr>
        <w:spacing w:line="480" w:lineRule="exact"/>
        <w:ind w:firstLine="480" w:firstLineChars="200"/>
        <w:rPr>
          <w:bCs/>
          <w:sz w:val="24"/>
          <w:highlight w:val="none"/>
        </w:rPr>
      </w:pPr>
      <w:r>
        <w:rPr>
          <w:bCs/>
          <w:sz w:val="24"/>
          <w:highlight w:val="none"/>
        </w:rPr>
        <w:t>委托期限：至上述事宜处理完毕止。</w:t>
      </w:r>
    </w:p>
    <w:p w14:paraId="0DB979E0">
      <w:pPr>
        <w:spacing w:line="480" w:lineRule="exact"/>
        <w:ind w:firstLine="480" w:firstLineChars="200"/>
        <w:rPr>
          <w:bCs/>
          <w:sz w:val="24"/>
          <w:highlight w:val="none"/>
        </w:rPr>
      </w:pPr>
      <w:r>
        <w:rPr>
          <w:rFonts w:hint="eastAsia"/>
          <w:bCs/>
          <w:sz w:val="24"/>
          <w:highlight w:val="none"/>
        </w:rPr>
        <w:t>本授权书于______年____月____日起生效，特此声明。</w:t>
      </w:r>
    </w:p>
    <w:p w14:paraId="1A840BB2">
      <w:pPr>
        <w:spacing w:line="480" w:lineRule="exact"/>
        <w:ind w:firstLine="480" w:firstLineChars="200"/>
        <w:rPr>
          <w:sz w:val="24"/>
          <w:szCs w:val="24"/>
          <w:highlight w:val="none"/>
        </w:rPr>
      </w:pPr>
      <w:r>
        <w:rPr>
          <w:rFonts w:hint="eastAsia"/>
          <w:sz w:val="24"/>
          <w:szCs w:val="24"/>
          <w:highlight w:val="none"/>
        </w:rPr>
        <w:t>授权代表情况：</w:t>
      </w:r>
    </w:p>
    <w:p w14:paraId="20446AC8">
      <w:pPr>
        <w:spacing w:line="480" w:lineRule="exact"/>
        <w:ind w:firstLine="480" w:firstLineChars="200"/>
        <w:rPr>
          <w:sz w:val="24"/>
          <w:szCs w:val="24"/>
          <w:highlight w:val="none"/>
          <w:u w:val="single"/>
        </w:rPr>
      </w:pPr>
      <w:r>
        <w:rPr>
          <w:rFonts w:hint="eastAsia"/>
          <w:sz w:val="24"/>
          <w:szCs w:val="24"/>
          <w:highlight w:val="none"/>
        </w:rPr>
        <w:t>姓名：</w:t>
      </w:r>
      <w:r>
        <w:rPr>
          <w:rFonts w:hint="eastAsia"/>
          <w:bCs/>
          <w:sz w:val="24"/>
          <w:highlight w:val="none"/>
          <w:u w:val="single"/>
        </w:rPr>
        <w:t xml:space="preserve">          </w:t>
      </w:r>
      <w:r>
        <w:rPr>
          <w:rFonts w:hint="eastAsia"/>
          <w:bCs/>
          <w:sz w:val="24"/>
          <w:highlight w:val="none"/>
        </w:rPr>
        <w:t xml:space="preserve"> 性别：</w:t>
      </w:r>
      <w:r>
        <w:rPr>
          <w:rFonts w:hint="eastAsia"/>
          <w:bCs/>
          <w:sz w:val="24"/>
          <w:highlight w:val="none"/>
          <w:u w:val="single"/>
        </w:rPr>
        <w:t xml:space="preserve">       </w:t>
      </w:r>
      <w:r>
        <w:rPr>
          <w:rFonts w:hint="eastAsia"/>
          <w:bCs/>
          <w:sz w:val="24"/>
          <w:highlight w:val="none"/>
        </w:rPr>
        <w:t xml:space="preserve"> 身份证号码：</w:t>
      </w:r>
      <w:r>
        <w:rPr>
          <w:rFonts w:hint="eastAsia"/>
          <w:bCs/>
          <w:sz w:val="24"/>
          <w:highlight w:val="none"/>
          <w:u w:val="single"/>
        </w:rPr>
        <w:t xml:space="preserve">                          </w:t>
      </w:r>
    </w:p>
    <w:p w14:paraId="0A90C964">
      <w:pPr>
        <w:spacing w:line="480" w:lineRule="exact"/>
        <w:ind w:firstLine="480" w:firstLineChars="200"/>
        <w:rPr>
          <w:sz w:val="24"/>
          <w:szCs w:val="24"/>
          <w:highlight w:val="none"/>
        </w:rPr>
      </w:pPr>
      <w:r>
        <w:rPr>
          <w:rFonts w:hint="eastAsia"/>
          <w:sz w:val="24"/>
          <w:szCs w:val="24"/>
          <w:highlight w:val="none"/>
        </w:rPr>
        <w:t>部门：</w:t>
      </w:r>
      <w:r>
        <w:rPr>
          <w:rFonts w:hint="eastAsia"/>
          <w:bCs/>
          <w:sz w:val="24"/>
          <w:highlight w:val="none"/>
          <w:u w:val="single"/>
        </w:rPr>
        <w:t xml:space="preserve">               </w:t>
      </w:r>
      <w:r>
        <w:rPr>
          <w:rFonts w:hint="eastAsia"/>
          <w:bCs/>
          <w:sz w:val="24"/>
          <w:highlight w:val="none"/>
        </w:rPr>
        <w:t xml:space="preserve"> 职务：</w:t>
      </w:r>
      <w:r>
        <w:rPr>
          <w:rFonts w:hint="eastAsia"/>
          <w:bCs/>
          <w:sz w:val="24"/>
          <w:highlight w:val="none"/>
          <w:u w:val="single"/>
        </w:rPr>
        <w:t xml:space="preserve">            </w:t>
      </w:r>
    </w:p>
    <w:p w14:paraId="3E153D8C">
      <w:pPr>
        <w:spacing w:line="480" w:lineRule="exact"/>
        <w:ind w:firstLine="480" w:firstLineChars="200"/>
        <w:rPr>
          <w:sz w:val="24"/>
          <w:szCs w:val="24"/>
          <w:highlight w:val="none"/>
        </w:rPr>
      </w:pPr>
      <w:r>
        <w:rPr>
          <w:rFonts w:hint="eastAsia"/>
          <w:sz w:val="24"/>
          <w:szCs w:val="24"/>
          <w:highlight w:val="none"/>
        </w:rPr>
        <w:t>通讯地址：</w:t>
      </w:r>
      <w:r>
        <w:rPr>
          <w:sz w:val="24"/>
          <w:szCs w:val="24"/>
          <w:highlight w:val="none"/>
          <w:u w:val="single"/>
        </w:rPr>
        <w:t xml:space="preserve">                          </w:t>
      </w:r>
    </w:p>
    <w:p w14:paraId="0160D3C1">
      <w:pPr>
        <w:spacing w:line="480" w:lineRule="exact"/>
        <w:ind w:firstLine="480" w:firstLineChars="200"/>
        <w:rPr>
          <w:sz w:val="24"/>
          <w:szCs w:val="24"/>
          <w:highlight w:val="none"/>
        </w:rPr>
      </w:pPr>
      <w:r>
        <w:rPr>
          <w:rFonts w:hint="eastAsia"/>
          <w:sz w:val="24"/>
          <w:szCs w:val="24"/>
          <w:highlight w:val="none"/>
        </w:rPr>
        <w:t>联系电话：</w:t>
      </w:r>
      <w:r>
        <w:rPr>
          <w:sz w:val="24"/>
          <w:szCs w:val="24"/>
          <w:highlight w:val="none"/>
          <w:u w:val="single"/>
        </w:rPr>
        <w:t xml:space="preserve">                          </w:t>
      </w:r>
    </w:p>
    <w:p w14:paraId="597A0B5D">
      <w:pPr>
        <w:spacing w:line="480" w:lineRule="exact"/>
        <w:ind w:firstLine="480" w:firstLineChars="200"/>
        <w:rPr>
          <w:sz w:val="24"/>
          <w:szCs w:val="24"/>
          <w:highlight w:val="none"/>
        </w:rPr>
      </w:pPr>
      <w:r>
        <w:rPr>
          <w:sz w:val="24"/>
          <w:szCs w:val="24"/>
          <w:highlight w:val="none"/>
        </w:rPr>
        <w:t>授权代表（签字）：</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p>
    <w:p w14:paraId="2CDADE6B">
      <w:pPr>
        <w:pStyle w:val="30"/>
        <w:spacing w:line="360" w:lineRule="auto"/>
        <w:ind w:firstLine="480"/>
        <w:jc w:val="left"/>
        <w:rPr>
          <w:rFonts w:ascii="宋体" w:hAnsi="宋体" w:eastAsia="宋体"/>
          <w:sz w:val="24"/>
          <w:szCs w:val="21"/>
          <w:highlight w:val="none"/>
        </w:rPr>
      </w:pPr>
      <w:r>
        <w:rPr>
          <w:rFonts w:ascii="宋体" w:hAnsi="宋体" w:eastAsia="宋体"/>
          <w:sz w:val="24"/>
          <w:szCs w:val="21"/>
          <w:highlight w:val="none"/>
        </w:rPr>
        <w:t>授权代表有效期内的身份证复印件（正反面）</w:t>
      </w:r>
    </w:p>
    <w:tbl>
      <w:tblPr>
        <w:tblStyle w:val="37"/>
        <w:tblW w:w="8363"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69"/>
        <w:gridCol w:w="278"/>
        <w:gridCol w:w="4116"/>
      </w:tblGrid>
      <w:tr w14:paraId="63D10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2" w:hRule="atLeast"/>
        </w:trPr>
        <w:tc>
          <w:tcPr>
            <w:tcW w:w="3969" w:type="dxa"/>
            <w:noWrap w:val="0"/>
            <w:vAlign w:val="center"/>
          </w:tcPr>
          <w:p w14:paraId="52FF4D01">
            <w:pPr>
              <w:pStyle w:val="16"/>
              <w:jc w:val="center"/>
              <w:rPr>
                <w:i/>
                <w:sz w:val="20"/>
                <w:highlight w:val="none"/>
              </w:rPr>
            </w:pPr>
            <w:r>
              <w:rPr>
                <w:i/>
                <w:sz w:val="24"/>
                <w:highlight w:val="none"/>
              </w:rPr>
              <w:t>身份证正面</w:t>
            </w:r>
          </w:p>
        </w:tc>
        <w:tc>
          <w:tcPr>
            <w:tcW w:w="278" w:type="dxa"/>
            <w:tcBorders>
              <w:top w:val="nil"/>
              <w:bottom w:val="nil"/>
            </w:tcBorders>
            <w:noWrap w:val="0"/>
            <w:vAlign w:val="top"/>
          </w:tcPr>
          <w:p w14:paraId="2438EBA2">
            <w:pPr>
              <w:widowControl/>
              <w:jc w:val="left"/>
              <w:rPr>
                <w:sz w:val="20"/>
                <w:highlight w:val="none"/>
              </w:rPr>
            </w:pPr>
          </w:p>
        </w:tc>
        <w:tc>
          <w:tcPr>
            <w:tcW w:w="4116" w:type="dxa"/>
            <w:noWrap w:val="0"/>
            <w:vAlign w:val="center"/>
          </w:tcPr>
          <w:p w14:paraId="68924FB4">
            <w:pPr>
              <w:widowControl/>
              <w:jc w:val="center"/>
              <w:rPr>
                <w:sz w:val="20"/>
                <w:highlight w:val="none"/>
              </w:rPr>
            </w:pPr>
            <w:r>
              <w:rPr>
                <w:i/>
                <w:sz w:val="24"/>
                <w:highlight w:val="none"/>
              </w:rPr>
              <w:t>身份证反面</w:t>
            </w:r>
          </w:p>
        </w:tc>
      </w:tr>
    </w:tbl>
    <w:p w14:paraId="55BF7D81">
      <w:pPr>
        <w:spacing w:line="520" w:lineRule="exact"/>
        <w:ind w:firstLine="480" w:firstLineChars="200"/>
        <w:rPr>
          <w:sz w:val="24"/>
          <w:szCs w:val="24"/>
          <w:highlight w:val="none"/>
        </w:rPr>
      </w:pPr>
    </w:p>
    <w:p w14:paraId="78A1C211">
      <w:pPr>
        <w:spacing w:line="520" w:lineRule="exact"/>
        <w:ind w:firstLine="480" w:firstLineChars="200"/>
        <w:rPr>
          <w:sz w:val="24"/>
          <w:szCs w:val="24"/>
          <w:highlight w:val="none"/>
        </w:rPr>
      </w:pPr>
      <w:r>
        <w:rPr>
          <w:sz w:val="24"/>
          <w:szCs w:val="24"/>
          <w:highlight w:val="none"/>
        </w:rPr>
        <w:t>法定代表人（签字或盖章）：</w:t>
      </w:r>
      <w:r>
        <w:rPr>
          <w:sz w:val="24"/>
          <w:szCs w:val="24"/>
          <w:highlight w:val="none"/>
          <w:u w:val="single"/>
        </w:rPr>
        <w:t xml:space="preserve">                      </w:t>
      </w:r>
      <w:r>
        <w:rPr>
          <w:sz w:val="24"/>
          <w:szCs w:val="24"/>
          <w:highlight w:val="none"/>
        </w:rPr>
        <w:t xml:space="preserve"> </w:t>
      </w:r>
    </w:p>
    <w:p w14:paraId="1964E340">
      <w:pPr>
        <w:spacing w:line="520" w:lineRule="exact"/>
        <w:ind w:firstLine="480" w:firstLineChars="200"/>
        <w:rPr>
          <w:sz w:val="24"/>
          <w:szCs w:val="24"/>
          <w:highlight w:val="none"/>
          <w:u w:val="single"/>
        </w:rPr>
      </w:pPr>
      <w:r>
        <w:rPr>
          <w:sz w:val="24"/>
          <w:szCs w:val="24"/>
          <w:highlight w:val="none"/>
        </w:rPr>
        <w:t>供应商名称：</w:t>
      </w:r>
      <w:r>
        <w:rPr>
          <w:rFonts w:hint="eastAsia"/>
          <w:sz w:val="24"/>
          <w:szCs w:val="24"/>
          <w:highlight w:val="none"/>
          <w:u w:val="single"/>
        </w:rPr>
        <w:t xml:space="preserve">                           （公章） </w:t>
      </w:r>
    </w:p>
    <w:p w14:paraId="162BCB47">
      <w:pPr>
        <w:pStyle w:val="111"/>
        <w:spacing w:before="0" w:after="0" w:line="420" w:lineRule="exact"/>
        <w:ind w:firstLineChars="200"/>
        <w:jc w:val="right"/>
        <w:rPr>
          <w:rFonts w:ascii="Times New Roman" w:hAnsi="Times New Roman"/>
          <w:kern w:val="2"/>
          <w:szCs w:val="21"/>
          <w:highlight w:val="none"/>
        </w:rPr>
      </w:pPr>
    </w:p>
    <w:p w14:paraId="5922F592">
      <w:pPr>
        <w:pStyle w:val="111"/>
        <w:spacing w:before="0" w:after="0" w:line="420" w:lineRule="exact"/>
        <w:ind w:firstLineChars="200"/>
        <w:jc w:val="right"/>
        <w:rPr>
          <w:rFonts w:ascii="Times New Roman" w:hAnsi="Times New Roman"/>
          <w:kern w:val="2"/>
          <w:szCs w:val="21"/>
          <w:highlight w:val="none"/>
        </w:rPr>
      </w:pPr>
      <w:r>
        <w:rPr>
          <w:rFonts w:ascii="Times New Roman" w:hAnsi="Times New Roman"/>
          <w:kern w:val="2"/>
          <w:szCs w:val="21"/>
          <w:highlight w:val="none"/>
        </w:rPr>
        <w:t>日    期：</w:t>
      </w:r>
      <w:r>
        <w:rPr>
          <w:rFonts w:ascii="Times New Roman" w:hAnsi="Times New Roman"/>
          <w:kern w:val="2"/>
          <w:szCs w:val="21"/>
          <w:highlight w:val="none"/>
          <w:u w:val="single"/>
        </w:rPr>
        <w:t xml:space="preserve">       </w:t>
      </w:r>
      <w:r>
        <w:rPr>
          <w:rFonts w:ascii="Times New Roman" w:hAnsi="Times New Roman"/>
          <w:kern w:val="2"/>
          <w:szCs w:val="21"/>
          <w:highlight w:val="none"/>
        </w:rPr>
        <w:t>年</w:t>
      </w:r>
      <w:r>
        <w:rPr>
          <w:rFonts w:ascii="Times New Roman" w:hAnsi="Times New Roman"/>
          <w:kern w:val="2"/>
          <w:szCs w:val="21"/>
          <w:highlight w:val="none"/>
          <w:u w:val="single"/>
        </w:rPr>
        <w:t xml:space="preserve">    </w:t>
      </w:r>
      <w:r>
        <w:rPr>
          <w:rFonts w:ascii="Times New Roman" w:hAnsi="Times New Roman"/>
          <w:kern w:val="2"/>
          <w:szCs w:val="21"/>
          <w:highlight w:val="none"/>
        </w:rPr>
        <w:t>月</w:t>
      </w:r>
      <w:r>
        <w:rPr>
          <w:rFonts w:ascii="Times New Roman" w:hAnsi="Times New Roman"/>
          <w:kern w:val="2"/>
          <w:szCs w:val="21"/>
          <w:highlight w:val="none"/>
          <w:u w:val="single"/>
        </w:rPr>
        <w:t xml:space="preserve">    </w:t>
      </w:r>
      <w:r>
        <w:rPr>
          <w:rFonts w:ascii="Times New Roman" w:hAnsi="Times New Roman"/>
          <w:kern w:val="2"/>
          <w:szCs w:val="21"/>
          <w:highlight w:val="none"/>
        </w:rPr>
        <w:t xml:space="preserve">日                        </w:t>
      </w:r>
    </w:p>
    <w:p w14:paraId="704E4440">
      <w:pPr>
        <w:pStyle w:val="5"/>
        <w:spacing w:before="0" w:after="0" w:line="538" w:lineRule="exact"/>
        <w:ind w:firstLine="361" w:firstLineChars="150"/>
        <w:jc w:val="center"/>
        <w:rPr>
          <w:highlight w:val="none"/>
        </w:rPr>
      </w:pPr>
      <w:r>
        <w:rPr>
          <w:sz w:val="24"/>
          <w:szCs w:val="24"/>
          <w:highlight w:val="none"/>
        </w:rPr>
        <w:br w:type="page"/>
      </w:r>
      <w:bookmarkEnd w:id="207"/>
      <w:bookmarkEnd w:id="208"/>
      <w:bookmarkEnd w:id="209"/>
      <w:r>
        <w:rPr>
          <w:rFonts w:hint="eastAsia"/>
          <w:highlight w:val="none"/>
        </w:rPr>
        <w:t>5．</w:t>
      </w:r>
      <w:r>
        <w:rPr>
          <w:highlight w:val="none"/>
        </w:rPr>
        <w:t>中小企业声明函</w:t>
      </w:r>
    </w:p>
    <w:p w14:paraId="131155DA">
      <w:pPr>
        <w:spacing w:line="360" w:lineRule="auto"/>
        <w:ind w:firstLine="480" w:firstLineChars="200"/>
        <w:rPr>
          <w:sz w:val="24"/>
          <w:szCs w:val="24"/>
          <w:highlight w:val="none"/>
        </w:rPr>
      </w:pPr>
    </w:p>
    <w:p w14:paraId="23C5C60F">
      <w:pPr>
        <w:spacing w:line="480" w:lineRule="exact"/>
        <w:ind w:firstLine="480" w:firstLineChars="200"/>
        <w:rPr>
          <w:sz w:val="24"/>
          <w:szCs w:val="24"/>
          <w:highlight w:val="none"/>
        </w:rPr>
      </w:pPr>
      <w:r>
        <w:rPr>
          <w:rFonts w:hint="eastAsia"/>
          <w:sz w:val="24"/>
          <w:szCs w:val="24"/>
          <w:highlight w:val="none"/>
        </w:rPr>
        <w:t>本公司（联合体）郑重声明，根据《政府采购促进中小企业发展管理办法》（财库﹝2020﹞46 号）的规定，本公司（联合体）参加</w:t>
      </w:r>
      <w:r>
        <w:rPr>
          <w:rFonts w:hint="eastAsia"/>
          <w:sz w:val="24"/>
          <w:szCs w:val="24"/>
          <w:highlight w:val="none"/>
          <w:u w:val="single"/>
        </w:rPr>
        <w:t xml:space="preserve"> </w:t>
      </w:r>
      <w:r>
        <w:rPr>
          <w:rFonts w:hint="eastAsia"/>
          <w:i/>
          <w:sz w:val="24"/>
          <w:szCs w:val="24"/>
          <w:highlight w:val="none"/>
          <w:u w:val="single"/>
        </w:rPr>
        <w:t>（单位名称）</w:t>
      </w:r>
      <w:r>
        <w:rPr>
          <w:rFonts w:hint="eastAsia"/>
          <w:sz w:val="24"/>
          <w:szCs w:val="24"/>
          <w:highlight w:val="none"/>
          <w:u w:val="single"/>
        </w:rPr>
        <w:t xml:space="preserve"> </w:t>
      </w:r>
      <w:r>
        <w:rPr>
          <w:rFonts w:hint="eastAsia"/>
          <w:sz w:val="24"/>
          <w:szCs w:val="24"/>
          <w:highlight w:val="none"/>
        </w:rPr>
        <w:t>的</w:t>
      </w:r>
      <w:r>
        <w:rPr>
          <w:rFonts w:hint="eastAsia"/>
          <w:sz w:val="24"/>
          <w:szCs w:val="24"/>
          <w:highlight w:val="none"/>
          <w:u w:val="single"/>
        </w:rPr>
        <w:t xml:space="preserve"> </w:t>
      </w:r>
      <w:r>
        <w:rPr>
          <w:rFonts w:hint="eastAsia"/>
          <w:i/>
          <w:sz w:val="24"/>
          <w:szCs w:val="24"/>
          <w:highlight w:val="none"/>
          <w:u w:val="single"/>
        </w:rPr>
        <w:t>（项目名称）</w:t>
      </w:r>
      <w:r>
        <w:rPr>
          <w:rFonts w:hint="eastAsia"/>
          <w:sz w:val="24"/>
          <w:szCs w:val="24"/>
          <w:highlight w:val="none"/>
          <w:u w:val="single"/>
        </w:rPr>
        <w:t xml:space="preserve"> </w:t>
      </w:r>
      <w:r>
        <w:rPr>
          <w:rFonts w:hint="eastAsia"/>
          <w:sz w:val="24"/>
          <w:szCs w:val="24"/>
          <w:highlight w:val="none"/>
        </w:rPr>
        <w:t>采购活动，提供的货物全部由符合政策要求的中小企业制造。相关企业（含联合体中的中小企业、签订分包意向协议的中小企业）的具体情况如下：</w:t>
      </w:r>
    </w:p>
    <w:p w14:paraId="28E14F72">
      <w:pPr>
        <w:spacing w:line="480" w:lineRule="exact"/>
        <w:ind w:firstLine="480" w:firstLineChars="200"/>
        <w:rPr>
          <w:sz w:val="24"/>
          <w:szCs w:val="24"/>
          <w:highlight w:val="none"/>
        </w:rPr>
      </w:pPr>
      <w:r>
        <w:rPr>
          <w:rFonts w:hint="eastAsia"/>
          <w:sz w:val="24"/>
          <w:szCs w:val="24"/>
          <w:highlight w:val="none"/>
        </w:rPr>
        <w:t xml:space="preserve">1. </w:t>
      </w:r>
      <w:r>
        <w:rPr>
          <w:rFonts w:hint="eastAsia"/>
          <w:i/>
          <w:sz w:val="24"/>
          <w:szCs w:val="24"/>
          <w:highlight w:val="none"/>
          <w:u w:val="single"/>
        </w:rPr>
        <w:t>（标的名称）</w:t>
      </w:r>
      <w:r>
        <w:rPr>
          <w:rFonts w:hint="eastAsia"/>
          <w:sz w:val="24"/>
          <w:szCs w:val="24"/>
          <w:highlight w:val="none"/>
          <w:u w:val="single"/>
        </w:rPr>
        <w:t xml:space="preserve"> </w:t>
      </w:r>
      <w:r>
        <w:rPr>
          <w:rFonts w:hint="eastAsia"/>
          <w:sz w:val="24"/>
          <w:szCs w:val="24"/>
          <w:highlight w:val="none"/>
        </w:rPr>
        <w:t>，属于</w:t>
      </w:r>
      <w:r>
        <w:rPr>
          <w:rFonts w:hint="eastAsia"/>
          <w:sz w:val="24"/>
          <w:szCs w:val="24"/>
          <w:highlight w:val="none"/>
          <w:u w:val="single"/>
        </w:rPr>
        <w:t xml:space="preserve"> </w:t>
      </w:r>
      <w:r>
        <w:rPr>
          <w:rFonts w:hint="eastAsia"/>
          <w:i/>
          <w:sz w:val="24"/>
          <w:szCs w:val="24"/>
          <w:highlight w:val="none"/>
          <w:u w:val="single"/>
        </w:rPr>
        <w:t>（采购文件中明确的所属行业）行业</w:t>
      </w:r>
      <w:r>
        <w:rPr>
          <w:rFonts w:hint="eastAsia"/>
          <w:sz w:val="24"/>
          <w:szCs w:val="24"/>
          <w:highlight w:val="none"/>
          <w:u w:val="single"/>
        </w:rPr>
        <w:t xml:space="preserve"> </w:t>
      </w:r>
      <w:r>
        <w:rPr>
          <w:rFonts w:hint="eastAsia"/>
          <w:sz w:val="24"/>
          <w:szCs w:val="24"/>
          <w:highlight w:val="none"/>
        </w:rPr>
        <w:t xml:space="preserve">；制造商为 </w:t>
      </w:r>
      <w:r>
        <w:rPr>
          <w:rFonts w:hint="eastAsia"/>
          <w:i/>
          <w:sz w:val="24"/>
          <w:szCs w:val="24"/>
          <w:highlight w:val="none"/>
          <w:u w:val="single"/>
        </w:rPr>
        <w:t>（企业名称）</w:t>
      </w:r>
      <w:r>
        <w:rPr>
          <w:rFonts w:hint="eastAsia"/>
          <w:sz w:val="24"/>
          <w:szCs w:val="24"/>
          <w:highlight w:val="none"/>
        </w:rPr>
        <w:t xml:space="preserve"> ，从业人员</w:t>
      </w:r>
      <w:r>
        <w:rPr>
          <w:rFonts w:hint="eastAsia"/>
          <w:sz w:val="24"/>
          <w:szCs w:val="24"/>
          <w:highlight w:val="none"/>
          <w:u w:val="single"/>
        </w:rPr>
        <w:t xml:space="preserve">      </w:t>
      </w:r>
      <w:r>
        <w:rPr>
          <w:rFonts w:hint="eastAsia"/>
          <w:sz w:val="24"/>
          <w:szCs w:val="24"/>
          <w:highlight w:val="none"/>
        </w:rPr>
        <w:t>人，营业收入为</w:t>
      </w:r>
      <w:r>
        <w:rPr>
          <w:rFonts w:hint="eastAsia"/>
          <w:sz w:val="24"/>
          <w:szCs w:val="24"/>
          <w:highlight w:val="none"/>
          <w:u w:val="single"/>
        </w:rPr>
        <w:t xml:space="preserve">     </w:t>
      </w:r>
      <w:r>
        <w:rPr>
          <w:rFonts w:hint="eastAsia"/>
          <w:sz w:val="24"/>
          <w:szCs w:val="24"/>
          <w:highlight w:val="none"/>
        </w:rPr>
        <w:t>万元，资产总额为</w:t>
      </w:r>
      <w:r>
        <w:rPr>
          <w:rFonts w:hint="eastAsia"/>
          <w:sz w:val="24"/>
          <w:szCs w:val="24"/>
          <w:highlight w:val="none"/>
          <w:u w:val="single"/>
        </w:rPr>
        <w:t xml:space="preserve">      </w:t>
      </w:r>
      <w:r>
        <w:rPr>
          <w:rFonts w:hint="eastAsia"/>
          <w:sz w:val="24"/>
          <w:szCs w:val="24"/>
          <w:highlight w:val="none"/>
        </w:rPr>
        <w:t>万元，属于</w:t>
      </w:r>
      <w:r>
        <w:rPr>
          <w:rFonts w:hint="eastAsia"/>
          <w:sz w:val="24"/>
          <w:szCs w:val="24"/>
          <w:highlight w:val="none"/>
          <w:u w:val="single"/>
        </w:rPr>
        <w:t xml:space="preserve"> </w:t>
      </w:r>
      <w:r>
        <w:rPr>
          <w:rFonts w:hint="eastAsia"/>
          <w:i/>
          <w:sz w:val="24"/>
          <w:szCs w:val="24"/>
          <w:highlight w:val="none"/>
          <w:u w:val="single"/>
        </w:rPr>
        <w:t>（中型企业、小型企业、微型企业）</w:t>
      </w:r>
      <w:r>
        <w:rPr>
          <w:rFonts w:hint="eastAsia"/>
          <w:sz w:val="24"/>
          <w:szCs w:val="24"/>
          <w:highlight w:val="none"/>
          <w:u w:val="single"/>
        </w:rPr>
        <w:t xml:space="preserve"> </w:t>
      </w:r>
      <w:r>
        <w:rPr>
          <w:rFonts w:hint="eastAsia"/>
          <w:sz w:val="24"/>
          <w:szCs w:val="24"/>
          <w:highlight w:val="none"/>
        </w:rPr>
        <w:t>；</w:t>
      </w:r>
    </w:p>
    <w:p w14:paraId="3411F825">
      <w:pPr>
        <w:spacing w:line="480" w:lineRule="exact"/>
        <w:ind w:firstLine="480" w:firstLineChars="200"/>
        <w:rPr>
          <w:sz w:val="24"/>
          <w:szCs w:val="24"/>
          <w:highlight w:val="none"/>
        </w:rPr>
      </w:pPr>
      <w:r>
        <w:rPr>
          <w:rFonts w:hint="eastAsia"/>
          <w:sz w:val="24"/>
          <w:szCs w:val="24"/>
          <w:highlight w:val="none"/>
        </w:rPr>
        <w:t xml:space="preserve">2. </w:t>
      </w:r>
      <w:r>
        <w:rPr>
          <w:rFonts w:hint="eastAsia"/>
          <w:i/>
          <w:sz w:val="24"/>
          <w:szCs w:val="24"/>
          <w:highlight w:val="none"/>
          <w:u w:val="single"/>
        </w:rPr>
        <w:t>（标的名称）</w:t>
      </w:r>
      <w:r>
        <w:rPr>
          <w:rFonts w:hint="eastAsia"/>
          <w:sz w:val="24"/>
          <w:szCs w:val="24"/>
          <w:highlight w:val="none"/>
          <w:u w:val="single"/>
        </w:rPr>
        <w:t xml:space="preserve"> </w:t>
      </w:r>
      <w:r>
        <w:rPr>
          <w:rFonts w:hint="eastAsia"/>
          <w:sz w:val="24"/>
          <w:szCs w:val="24"/>
          <w:highlight w:val="none"/>
        </w:rPr>
        <w:t>，属于</w:t>
      </w:r>
      <w:r>
        <w:rPr>
          <w:rFonts w:hint="eastAsia"/>
          <w:sz w:val="24"/>
          <w:szCs w:val="24"/>
          <w:highlight w:val="none"/>
          <w:u w:val="single"/>
        </w:rPr>
        <w:t xml:space="preserve"> </w:t>
      </w:r>
      <w:r>
        <w:rPr>
          <w:rFonts w:hint="eastAsia"/>
          <w:i/>
          <w:sz w:val="24"/>
          <w:szCs w:val="24"/>
          <w:highlight w:val="none"/>
          <w:u w:val="single"/>
        </w:rPr>
        <w:t>（采购文件中明确的所属行业）行业</w:t>
      </w:r>
      <w:r>
        <w:rPr>
          <w:rFonts w:hint="eastAsia"/>
          <w:sz w:val="24"/>
          <w:szCs w:val="24"/>
          <w:highlight w:val="none"/>
          <w:u w:val="single"/>
        </w:rPr>
        <w:t xml:space="preserve"> </w:t>
      </w:r>
      <w:r>
        <w:rPr>
          <w:rFonts w:hint="eastAsia"/>
          <w:sz w:val="24"/>
          <w:szCs w:val="24"/>
          <w:highlight w:val="none"/>
        </w:rPr>
        <w:t xml:space="preserve">；制造商为 </w:t>
      </w:r>
      <w:r>
        <w:rPr>
          <w:rFonts w:hint="eastAsia"/>
          <w:i/>
          <w:sz w:val="24"/>
          <w:szCs w:val="24"/>
          <w:highlight w:val="none"/>
          <w:u w:val="single"/>
        </w:rPr>
        <w:t>（企业名称）</w:t>
      </w:r>
      <w:r>
        <w:rPr>
          <w:rFonts w:hint="eastAsia"/>
          <w:sz w:val="24"/>
          <w:szCs w:val="24"/>
          <w:highlight w:val="none"/>
          <w:u w:val="single"/>
        </w:rPr>
        <w:t xml:space="preserve"> </w:t>
      </w:r>
      <w:r>
        <w:rPr>
          <w:rFonts w:hint="eastAsia"/>
          <w:sz w:val="24"/>
          <w:szCs w:val="24"/>
          <w:highlight w:val="none"/>
        </w:rPr>
        <w:t>，从业人员</w:t>
      </w:r>
      <w:r>
        <w:rPr>
          <w:rFonts w:hint="eastAsia"/>
          <w:sz w:val="24"/>
          <w:szCs w:val="24"/>
          <w:highlight w:val="none"/>
          <w:u w:val="single"/>
        </w:rPr>
        <w:t xml:space="preserve">     </w:t>
      </w:r>
      <w:r>
        <w:rPr>
          <w:rFonts w:hint="eastAsia"/>
          <w:sz w:val="24"/>
          <w:szCs w:val="24"/>
          <w:highlight w:val="none"/>
        </w:rPr>
        <w:t>人，营业收入为</w:t>
      </w:r>
      <w:r>
        <w:rPr>
          <w:rFonts w:hint="eastAsia"/>
          <w:sz w:val="24"/>
          <w:szCs w:val="24"/>
          <w:highlight w:val="none"/>
          <w:u w:val="single"/>
        </w:rPr>
        <w:t xml:space="preserve">     </w:t>
      </w:r>
      <w:r>
        <w:rPr>
          <w:rFonts w:hint="eastAsia"/>
          <w:sz w:val="24"/>
          <w:szCs w:val="24"/>
          <w:highlight w:val="none"/>
        </w:rPr>
        <w:t>万元，资产总额为</w:t>
      </w:r>
      <w:r>
        <w:rPr>
          <w:rFonts w:hint="eastAsia"/>
          <w:sz w:val="24"/>
          <w:szCs w:val="24"/>
          <w:highlight w:val="none"/>
          <w:u w:val="single"/>
        </w:rPr>
        <w:t xml:space="preserve">     </w:t>
      </w:r>
      <w:r>
        <w:rPr>
          <w:rFonts w:hint="eastAsia"/>
          <w:sz w:val="24"/>
          <w:szCs w:val="24"/>
          <w:highlight w:val="none"/>
        </w:rPr>
        <w:t>万元，属于</w:t>
      </w:r>
      <w:r>
        <w:rPr>
          <w:rFonts w:hint="eastAsia"/>
          <w:sz w:val="24"/>
          <w:szCs w:val="24"/>
          <w:highlight w:val="none"/>
          <w:u w:val="single"/>
        </w:rPr>
        <w:t xml:space="preserve"> </w:t>
      </w:r>
      <w:r>
        <w:rPr>
          <w:rFonts w:hint="eastAsia"/>
          <w:i/>
          <w:sz w:val="24"/>
          <w:szCs w:val="24"/>
          <w:highlight w:val="none"/>
          <w:u w:val="single"/>
        </w:rPr>
        <w:t>（中型企业、小型企业、微型企业）</w:t>
      </w:r>
      <w:r>
        <w:rPr>
          <w:rFonts w:hint="eastAsia"/>
          <w:sz w:val="24"/>
          <w:szCs w:val="24"/>
          <w:highlight w:val="none"/>
          <w:u w:val="single"/>
        </w:rPr>
        <w:t xml:space="preserve"> </w:t>
      </w:r>
      <w:r>
        <w:rPr>
          <w:rFonts w:hint="eastAsia"/>
          <w:sz w:val="24"/>
          <w:szCs w:val="24"/>
          <w:highlight w:val="none"/>
        </w:rPr>
        <w:t>；</w:t>
      </w:r>
    </w:p>
    <w:p w14:paraId="297E750E">
      <w:pPr>
        <w:spacing w:line="480" w:lineRule="exact"/>
        <w:ind w:firstLine="480" w:firstLineChars="200"/>
        <w:rPr>
          <w:sz w:val="24"/>
          <w:szCs w:val="24"/>
          <w:highlight w:val="none"/>
        </w:rPr>
      </w:pPr>
      <w:r>
        <w:rPr>
          <w:rFonts w:hint="eastAsia"/>
          <w:sz w:val="24"/>
          <w:szCs w:val="24"/>
          <w:highlight w:val="none"/>
        </w:rPr>
        <w:t>……</w:t>
      </w:r>
    </w:p>
    <w:p w14:paraId="4D3C6154">
      <w:pPr>
        <w:spacing w:line="480" w:lineRule="exact"/>
        <w:ind w:firstLine="480" w:firstLineChars="200"/>
        <w:rPr>
          <w:sz w:val="24"/>
          <w:szCs w:val="24"/>
          <w:highlight w:val="none"/>
        </w:rPr>
      </w:pPr>
      <w:r>
        <w:rPr>
          <w:rFonts w:hint="eastAsia"/>
          <w:sz w:val="24"/>
          <w:szCs w:val="24"/>
          <w:highlight w:val="none"/>
        </w:rPr>
        <w:t>以上企业，不属于大企业的分支机构，不存在控股股东为大企业的情形，也不存在与大企业的负责人为同一人的情形。</w:t>
      </w:r>
    </w:p>
    <w:p w14:paraId="75706033">
      <w:pPr>
        <w:spacing w:line="480" w:lineRule="exact"/>
        <w:ind w:firstLine="480" w:firstLineChars="200"/>
        <w:rPr>
          <w:sz w:val="24"/>
          <w:szCs w:val="24"/>
          <w:highlight w:val="none"/>
        </w:rPr>
      </w:pPr>
      <w:r>
        <w:rPr>
          <w:rFonts w:hint="eastAsia"/>
          <w:sz w:val="24"/>
          <w:szCs w:val="24"/>
          <w:highlight w:val="none"/>
        </w:rPr>
        <w:t>本企业对上述声明内容的真实性负责。如有虚假，将依法承担相应责任。</w:t>
      </w:r>
    </w:p>
    <w:p w14:paraId="731F641B">
      <w:pPr>
        <w:spacing w:line="480" w:lineRule="exact"/>
        <w:ind w:right="960" w:firstLine="480" w:firstLineChars="200"/>
        <w:jc w:val="center"/>
        <w:rPr>
          <w:sz w:val="24"/>
          <w:szCs w:val="24"/>
          <w:highlight w:val="none"/>
        </w:rPr>
      </w:pPr>
      <w:r>
        <w:rPr>
          <w:rFonts w:hint="eastAsia"/>
          <w:sz w:val="24"/>
          <w:szCs w:val="24"/>
          <w:highlight w:val="none"/>
        </w:rPr>
        <w:t xml:space="preserve">                            </w:t>
      </w:r>
    </w:p>
    <w:p w14:paraId="69EB3C2A">
      <w:pPr>
        <w:spacing w:line="480" w:lineRule="exact"/>
        <w:ind w:right="960" w:firstLine="480" w:firstLineChars="200"/>
        <w:jc w:val="center"/>
        <w:rPr>
          <w:sz w:val="24"/>
          <w:szCs w:val="24"/>
          <w:highlight w:val="none"/>
        </w:rPr>
      </w:pPr>
    </w:p>
    <w:p w14:paraId="04FBB6CA">
      <w:pPr>
        <w:spacing w:line="480" w:lineRule="exact"/>
        <w:ind w:right="960" w:firstLine="480" w:firstLineChars="200"/>
        <w:jc w:val="center"/>
        <w:rPr>
          <w:sz w:val="24"/>
          <w:szCs w:val="24"/>
          <w:highlight w:val="none"/>
        </w:rPr>
      </w:pPr>
      <w:r>
        <w:rPr>
          <w:rFonts w:hint="eastAsia"/>
          <w:sz w:val="24"/>
          <w:szCs w:val="24"/>
          <w:highlight w:val="none"/>
        </w:rPr>
        <w:t xml:space="preserve">                            企业名称（盖章）：</w:t>
      </w:r>
    </w:p>
    <w:p w14:paraId="55BDD5D7">
      <w:pPr>
        <w:spacing w:line="480" w:lineRule="exact"/>
        <w:ind w:right="960" w:firstLine="480" w:firstLineChars="200"/>
        <w:jc w:val="center"/>
        <w:rPr>
          <w:sz w:val="24"/>
          <w:szCs w:val="24"/>
          <w:highlight w:val="none"/>
        </w:rPr>
      </w:pPr>
      <w:r>
        <w:rPr>
          <w:rFonts w:hint="eastAsia"/>
          <w:sz w:val="24"/>
          <w:szCs w:val="24"/>
          <w:highlight w:val="none"/>
        </w:rPr>
        <w:t xml:space="preserve">                 日 期：</w:t>
      </w:r>
    </w:p>
    <w:p w14:paraId="253C69FE">
      <w:pPr>
        <w:spacing w:line="440" w:lineRule="exact"/>
        <w:ind w:firstLine="482" w:firstLineChars="200"/>
        <w:rPr>
          <w:b/>
          <w:bCs/>
          <w:sz w:val="24"/>
          <w:szCs w:val="24"/>
          <w:highlight w:val="none"/>
          <w:vertAlign w:val="superscript"/>
        </w:rPr>
      </w:pPr>
      <w:r>
        <w:rPr>
          <w:b/>
          <w:bCs/>
          <w:sz w:val="24"/>
          <w:highlight w:val="none"/>
        </w:rPr>
        <w:t>备注：</w:t>
      </w:r>
    </w:p>
    <w:p w14:paraId="158D421D">
      <w:pPr>
        <w:spacing w:line="440" w:lineRule="exact"/>
        <w:ind w:firstLine="480" w:firstLineChars="200"/>
        <w:rPr>
          <w:bCs/>
          <w:sz w:val="24"/>
          <w:szCs w:val="24"/>
          <w:highlight w:val="none"/>
        </w:rPr>
      </w:pPr>
      <w:r>
        <w:rPr>
          <w:rFonts w:hint="eastAsia"/>
          <w:bCs/>
          <w:sz w:val="24"/>
          <w:szCs w:val="24"/>
          <w:highlight w:val="none"/>
        </w:rPr>
        <w:t>1、从业人员、营业收入、资产总额填报</w:t>
      </w:r>
      <w:r>
        <w:rPr>
          <w:rFonts w:hint="eastAsia"/>
          <w:bCs/>
          <w:sz w:val="24"/>
          <w:szCs w:val="24"/>
          <w:highlight w:val="none"/>
          <w:lang w:val="en-US" w:eastAsia="zh-CN"/>
        </w:rPr>
        <w:t>上一年</w:t>
      </w:r>
      <w:r>
        <w:rPr>
          <w:rFonts w:hint="eastAsia"/>
          <w:bCs/>
          <w:sz w:val="24"/>
          <w:szCs w:val="24"/>
          <w:highlight w:val="none"/>
          <w:lang w:eastAsia="zh-CN"/>
        </w:rPr>
        <w:t>度</w:t>
      </w:r>
      <w:r>
        <w:rPr>
          <w:rFonts w:hint="eastAsia"/>
          <w:bCs/>
          <w:sz w:val="24"/>
          <w:szCs w:val="24"/>
          <w:highlight w:val="none"/>
        </w:rPr>
        <w:t>数据，无</w:t>
      </w:r>
      <w:r>
        <w:rPr>
          <w:rFonts w:hint="eastAsia"/>
          <w:bCs/>
          <w:sz w:val="24"/>
          <w:szCs w:val="24"/>
          <w:highlight w:val="none"/>
          <w:lang w:val="en-US" w:eastAsia="zh-CN"/>
        </w:rPr>
        <w:t>上一</w:t>
      </w:r>
      <w:r>
        <w:rPr>
          <w:rFonts w:hint="eastAsia"/>
          <w:bCs/>
          <w:sz w:val="24"/>
          <w:szCs w:val="24"/>
          <w:highlight w:val="none"/>
          <w:lang w:eastAsia="zh-CN"/>
        </w:rPr>
        <w:t>年度</w:t>
      </w:r>
      <w:r>
        <w:rPr>
          <w:rFonts w:hint="eastAsia"/>
          <w:bCs/>
          <w:sz w:val="24"/>
          <w:szCs w:val="24"/>
          <w:highlight w:val="none"/>
        </w:rPr>
        <w:t>数据的新成立企业可不填报。</w:t>
      </w:r>
    </w:p>
    <w:p w14:paraId="1C58F4D7">
      <w:pPr>
        <w:spacing w:line="440" w:lineRule="exact"/>
        <w:ind w:firstLine="480" w:firstLineChars="200"/>
        <w:rPr>
          <w:bCs/>
          <w:sz w:val="24"/>
          <w:szCs w:val="24"/>
          <w:highlight w:val="none"/>
        </w:rPr>
      </w:pPr>
      <w:r>
        <w:rPr>
          <w:rFonts w:hint="eastAsia"/>
          <w:bCs/>
          <w:sz w:val="24"/>
          <w:szCs w:val="24"/>
          <w:highlight w:val="none"/>
        </w:rPr>
        <w:t>2、采购标的所属行业属于</w:t>
      </w:r>
      <w:r>
        <w:rPr>
          <w:rFonts w:hint="eastAsia"/>
          <w:bCs/>
          <w:sz w:val="24"/>
          <w:szCs w:val="24"/>
          <w:highlight w:val="none"/>
          <w:u w:val="single"/>
        </w:rPr>
        <w:t xml:space="preserve">   工业   </w:t>
      </w:r>
      <w:r>
        <w:rPr>
          <w:rFonts w:hint="eastAsia"/>
          <w:bCs/>
          <w:sz w:val="24"/>
          <w:szCs w:val="24"/>
          <w:highlight w:val="none"/>
        </w:rPr>
        <w:t>。</w:t>
      </w:r>
    </w:p>
    <w:p w14:paraId="0C28D640">
      <w:pPr>
        <w:spacing w:line="440" w:lineRule="exact"/>
        <w:ind w:firstLine="480" w:firstLineChars="200"/>
        <w:rPr>
          <w:highlight w:val="none"/>
        </w:rPr>
      </w:pPr>
      <w:r>
        <w:rPr>
          <w:rFonts w:hint="eastAsia"/>
          <w:bCs/>
          <w:sz w:val="24"/>
          <w:szCs w:val="24"/>
          <w:highlight w:val="none"/>
        </w:rPr>
        <w:t>3、</w:t>
      </w:r>
      <w:r>
        <w:rPr>
          <w:rFonts w:hint="eastAsia" w:ascii="宋体" w:hAnsi="宋体" w:cs="宋体"/>
          <w:bCs/>
          <w:sz w:val="24"/>
          <w:szCs w:val="24"/>
          <w:highlight w:val="none"/>
        </w:rPr>
        <w:t>供应商</w:t>
      </w:r>
      <w:r>
        <w:rPr>
          <w:rFonts w:ascii="宋体" w:hAnsi="宋体" w:cs="宋体"/>
          <w:bCs/>
          <w:sz w:val="24"/>
          <w:szCs w:val="24"/>
          <w:highlight w:val="none"/>
        </w:rPr>
        <w:t>应当对其出具的《中小企业声明函》真实性负责，《中小企业声明函》内容不实的，属于提供虚假材料谋取中标。</w:t>
      </w:r>
      <w:r>
        <w:rPr>
          <w:rFonts w:hint="eastAsia" w:ascii="宋体" w:hAnsi="宋体" w:cs="宋体"/>
          <w:bCs/>
          <w:sz w:val="24"/>
          <w:szCs w:val="24"/>
          <w:highlight w:val="none"/>
        </w:rPr>
        <w:t>供应商</w:t>
      </w:r>
      <w:r>
        <w:rPr>
          <w:rFonts w:ascii="宋体" w:hAnsi="宋体" w:cs="宋体"/>
          <w:bCs/>
          <w:sz w:val="24"/>
          <w:szCs w:val="24"/>
          <w:highlight w:val="none"/>
        </w:rPr>
        <w:t>应从制造商处获得充分、准确的信息。对相关制造商信息了解不充分，或者不能确定相关信息真实、准确的，不建议出具《中小企业声明函》。</w:t>
      </w:r>
    </w:p>
    <w:p w14:paraId="408EDC7C">
      <w:pPr>
        <w:pStyle w:val="5"/>
        <w:spacing w:before="0" w:after="0" w:line="538" w:lineRule="exact"/>
        <w:ind w:firstLine="482" w:firstLineChars="150"/>
        <w:jc w:val="center"/>
        <w:rPr>
          <w:highlight w:val="none"/>
        </w:rPr>
      </w:pPr>
      <w:r>
        <w:rPr>
          <w:highlight w:val="none"/>
        </w:rPr>
        <w:br w:type="page"/>
      </w:r>
      <w:bookmarkStart w:id="210" w:name="OLE_LINK14"/>
      <w:bookmarkStart w:id="211" w:name="OLE_LINK13"/>
      <w:r>
        <w:rPr>
          <w:rFonts w:hint="eastAsia"/>
          <w:highlight w:val="none"/>
        </w:rPr>
        <w:t>6．</w:t>
      </w:r>
      <w:r>
        <w:rPr>
          <w:highlight w:val="none"/>
        </w:rPr>
        <w:t>残疾人福利性单位声明函</w:t>
      </w:r>
    </w:p>
    <w:bookmarkEnd w:id="210"/>
    <w:bookmarkEnd w:id="211"/>
    <w:p w14:paraId="7661D2EB">
      <w:pPr>
        <w:spacing w:line="588" w:lineRule="exact"/>
        <w:rPr>
          <w:rFonts w:eastAsia="仿宋_GB2312"/>
          <w:b/>
          <w:spacing w:val="6"/>
          <w:sz w:val="30"/>
          <w:szCs w:val="30"/>
          <w:highlight w:val="none"/>
        </w:rPr>
      </w:pPr>
    </w:p>
    <w:p w14:paraId="18172724">
      <w:pPr>
        <w:spacing w:line="560" w:lineRule="exact"/>
        <w:ind w:firstLine="360" w:firstLineChars="150"/>
        <w:rPr>
          <w:sz w:val="24"/>
          <w:highlight w:val="none"/>
        </w:rPr>
      </w:pPr>
      <w:r>
        <w:rPr>
          <w:sz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728BF57">
      <w:pPr>
        <w:spacing w:line="560" w:lineRule="exact"/>
        <w:ind w:firstLine="360" w:firstLineChars="150"/>
        <w:rPr>
          <w:sz w:val="24"/>
          <w:highlight w:val="none"/>
        </w:rPr>
      </w:pPr>
      <w:r>
        <w:rPr>
          <w:sz w:val="24"/>
          <w:highlight w:val="none"/>
        </w:rPr>
        <w:t>本单位对上述声明的真实性负责。如有虚假，将依法承担相应责任。</w:t>
      </w:r>
    </w:p>
    <w:p w14:paraId="152628A8">
      <w:pPr>
        <w:spacing w:line="560" w:lineRule="exact"/>
        <w:ind w:firstLine="360" w:firstLineChars="150"/>
        <w:rPr>
          <w:sz w:val="24"/>
          <w:highlight w:val="none"/>
        </w:rPr>
      </w:pPr>
    </w:p>
    <w:p w14:paraId="5B317888">
      <w:pPr>
        <w:spacing w:line="560" w:lineRule="exact"/>
        <w:ind w:firstLine="360" w:firstLineChars="150"/>
        <w:rPr>
          <w:sz w:val="24"/>
          <w:highlight w:val="none"/>
        </w:rPr>
      </w:pPr>
    </w:p>
    <w:p w14:paraId="6789CF6F">
      <w:pPr>
        <w:spacing w:line="360" w:lineRule="auto"/>
        <w:ind w:firstLine="4920" w:firstLineChars="2050"/>
        <w:rPr>
          <w:sz w:val="24"/>
          <w:highlight w:val="none"/>
        </w:rPr>
      </w:pPr>
      <w:r>
        <w:rPr>
          <w:sz w:val="24"/>
          <w:highlight w:val="none"/>
        </w:rPr>
        <w:t>企业名称（盖章）：</w:t>
      </w:r>
    </w:p>
    <w:p w14:paraId="51E44715">
      <w:pPr>
        <w:spacing w:line="360" w:lineRule="auto"/>
        <w:ind w:firstLine="4920" w:firstLineChars="2050"/>
        <w:rPr>
          <w:sz w:val="24"/>
          <w:highlight w:val="none"/>
        </w:rPr>
      </w:pPr>
      <w:r>
        <w:rPr>
          <w:sz w:val="24"/>
          <w:highlight w:val="none"/>
        </w:rPr>
        <w:t>日期：</w:t>
      </w:r>
      <w:r>
        <w:rPr>
          <w:sz w:val="24"/>
          <w:highlight w:val="none"/>
          <w:u w:val="single"/>
        </w:rPr>
        <w:t xml:space="preserve">     </w:t>
      </w:r>
      <w:r>
        <w:rPr>
          <w:sz w:val="24"/>
          <w:highlight w:val="none"/>
        </w:rPr>
        <w:t xml:space="preserve"> 年</w:t>
      </w:r>
      <w:r>
        <w:rPr>
          <w:sz w:val="24"/>
          <w:highlight w:val="none"/>
          <w:u w:val="single"/>
        </w:rPr>
        <w:t xml:space="preserve">     </w:t>
      </w:r>
      <w:r>
        <w:rPr>
          <w:sz w:val="24"/>
          <w:highlight w:val="none"/>
        </w:rPr>
        <w:t>月</w:t>
      </w:r>
      <w:r>
        <w:rPr>
          <w:sz w:val="24"/>
          <w:highlight w:val="none"/>
          <w:u w:val="single"/>
        </w:rPr>
        <w:t xml:space="preserve">     </w:t>
      </w:r>
      <w:r>
        <w:rPr>
          <w:sz w:val="24"/>
          <w:highlight w:val="none"/>
        </w:rPr>
        <w:t>日</w:t>
      </w:r>
    </w:p>
    <w:p w14:paraId="2E8273BF">
      <w:pPr>
        <w:spacing w:line="560" w:lineRule="exact"/>
        <w:rPr>
          <w:i/>
          <w:sz w:val="24"/>
          <w:highlight w:val="none"/>
          <w:u w:val="single"/>
        </w:rPr>
      </w:pPr>
    </w:p>
    <w:p w14:paraId="7FE45A5B">
      <w:pPr>
        <w:pStyle w:val="111"/>
        <w:spacing w:before="0" w:after="0" w:line="420" w:lineRule="exact"/>
        <w:ind w:left="0" w:leftChars="0" w:right="600" w:firstLine="0" w:firstLineChars="0"/>
        <w:jc w:val="center"/>
        <w:rPr>
          <w:rFonts w:hint="eastAsia" w:ascii="Times New Roman" w:hAnsi="Times New Roman" w:eastAsia="宋体" w:cs="Times New Roman"/>
          <w:b/>
          <w:bCs/>
          <w:kern w:val="2"/>
          <w:sz w:val="32"/>
          <w:szCs w:val="32"/>
          <w:highlight w:val="none"/>
          <w:lang w:val="en-US" w:eastAsia="zh-CN" w:bidi="ar-SA"/>
        </w:rPr>
      </w:pPr>
      <w:r>
        <w:rPr>
          <w:highlight w:val="none"/>
        </w:rPr>
        <w:br w:type="page"/>
      </w:r>
      <w:r>
        <w:rPr>
          <w:rFonts w:hint="eastAsia" w:ascii="Times New Roman" w:hAnsi="Times New Roman" w:eastAsia="宋体" w:cs="Times New Roman"/>
          <w:b/>
          <w:bCs/>
          <w:kern w:val="2"/>
          <w:sz w:val="32"/>
          <w:szCs w:val="32"/>
          <w:highlight w:val="none"/>
          <w:lang w:val="en-US" w:eastAsia="zh-CN" w:bidi="ar-SA"/>
        </w:rPr>
        <w:t>7．具备履行合同所必需的设备和专业技术能力的书面声明</w:t>
      </w:r>
    </w:p>
    <w:p w14:paraId="073FC080">
      <w:pPr>
        <w:spacing w:line="460" w:lineRule="exact"/>
        <w:ind w:firstLine="492"/>
        <w:rPr>
          <w:bCs/>
          <w:sz w:val="24"/>
          <w:highlight w:val="none"/>
        </w:rPr>
      </w:pPr>
    </w:p>
    <w:p w14:paraId="20EB84FE">
      <w:pPr>
        <w:spacing w:line="460" w:lineRule="exact"/>
        <w:ind w:firstLine="492"/>
        <w:rPr>
          <w:bCs/>
          <w:sz w:val="24"/>
          <w:highlight w:val="none"/>
        </w:rPr>
      </w:pPr>
      <w:r>
        <w:rPr>
          <w:bCs/>
          <w:sz w:val="24"/>
          <w:highlight w:val="none"/>
        </w:rPr>
        <w:t>我单位郑重声明：我单位具备履行本项采购合同所必需的设备和专业技术能力，为履行本项采购合同我单位具备如下主要设备和主要专业技术能力：</w:t>
      </w:r>
    </w:p>
    <w:p w14:paraId="05C3F1FA">
      <w:pPr>
        <w:spacing w:line="460" w:lineRule="exact"/>
        <w:ind w:firstLine="492"/>
        <w:rPr>
          <w:bCs/>
          <w:sz w:val="24"/>
          <w:highlight w:val="none"/>
        </w:rPr>
      </w:pPr>
      <w:r>
        <w:rPr>
          <w:bCs/>
          <w:sz w:val="24"/>
          <w:highlight w:val="none"/>
        </w:rPr>
        <w:t>主要设备有：  。</w:t>
      </w:r>
    </w:p>
    <w:p w14:paraId="5B2BEA6B">
      <w:pPr>
        <w:spacing w:line="460" w:lineRule="exact"/>
        <w:ind w:firstLine="492"/>
        <w:rPr>
          <w:bCs/>
          <w:sz w:val="24"/>
          <w:highlight w:val="none"/>
        </w:rPr>
      </w:pPr>
      <w:r>
        <w:rPr>
          <w:bCs/>
          <w:sz w:val="24"/>
          <w:highlight w:val="none"/>
        </w:rPr>
        <w:t>主要专业技术能力有：   。</w:t>
      </w:r>
    </w:p>
    <w:p w14:paraId="70C45F8B">
      <w:pPr>
        <w:spacing w:line="460" w:lineRule="exact"/>
        <w:rPr>
          <w:bCs/>
          <w:sz w:val="24"/>
          <w:highlight w:val="none"/>
        </w:rPr>
      </w:pPr>
      <w:r>
        <w:rPr>
          <w:bCs/>
          <w:sz w:val="24"/>
          <w:highlight w:val="none"/>
        </w:rPr>
        <w:t xml:space="preserve">                                      </w:t>
      </w:r>
      <w:r>
        <w:rPr>
          <w:sz w:val="24"/>
          <w:szCs w:val="24"/>
          <w:highlight w:val="none"/>
        </w:rPr>
        <w:t>供应商</w:t>
      </w:r>
      <w:r>
        <w:rPr>
          <w:bCs/>
          <w:sz w:val="24"/>
          <w:highlight w:val="none"/>
        </w:rPr>
        <w:t>名称（公章）：</w:t>
      </w:r>
    </w:p>
    <w:p w14:paraId="1911F2E4">
      <w:pPr>
        <w:spacing w:line="460" w:lineRule="exact"/>
        <w:rPr>
          <w:bCs/>
          <w:sz w:val="24"/>
          <w:highlight w:val="none"/>
        </w:rPr>
      </w:pPr>
      <w:r>
        <w:rPr>
          <w:bCs/>
          <w:sz w:val="24"/>
          <w:highlight w:val="none"/>
        </w:rPr>
        <w:t xml:space="preserve">                                     </w:t>
      </w:r>
    </w:p>
    <w:p w14:paraId="778F847F">
      <w:pPr>
        <w:spacing w:line="460" w:lineRule="exact"/>
        <w:rPr>
          <w:bCs/>
          <w:sz w:val="24"/>
          <w:highlight w:val="none"/>
        </w:rPr>
      </w:pPr>
      <w:r>
        <w:rPr>
          <w:bCs/>
          <w:sz w:val="24"/>
          <w:highlight w:val="none"/>
        </w:rPr>
        <w:t xml:space="preserve">                                     日期：</w:t>
      </w:r>
      <w:r>
        <w:rPr>
          <w:bCs/>
          <w:sz w:val="24"/>
          <w:highlight w:val="none"/>
          <w:u w:val="single"/>
        </w:rPr>
        <w:t>______</w:t>
      </w:r>
      <w:r>
        <w:rPr>
          <w:bCs/>
          <w:sz w:val="24"/>
          <w:highlight w:val="none"/>
        </w:rPr>
        <w:t>年</w:t>
      </w:r>
      <w:r>
        <w:rPr>
          <w:bCs/>
          <w:sz w:val="24"/>
          <w:highlight w:val="none"/>
          <w:u w:val="single"/>
        </w:rPr>
        <w:t xml:space="preserve">    </w:t>
      </w:r>
      <w:r>
        <w:rPr>
          <w:bCs/>
          <w:sz w:val="24"/>
          <w:highlight w:val="none"/>
        </w:rPr>
        <w:t>月</w:t>
      </w:r>
      <w:r>
        <w:rPr>
          <w:bCs/>
          <w:sz w:val="24"/>
          <w:highlight w:val="none"/>
          <w:u w:val="single"/>
        </w:rPr>
        <w:t xml:space="preserve">    </w:t>
      </w:r>
      <w:r>
        <w:rPr>
          <w:bCs/>
          <w:sz w:val="24"/>
          <w:highlight w:val="none"/>
        </w:rPr>
        <w:t>日</w:t>
      </w:r>
    </w:p>
    <w:p w14:paraId="4FF05B88">
      <w:pPr>
        <w:spacing w:line="440" w:lineRule="exact"/>
        <w:jc w:val="center"/>
        <w:rPr>
          <w:b/>
          <w:bCs/>
          <w:sz w:val="32"/>
          <w:szCs w:val="32"/>
          <w:highlight w:val="none"/>
        </w:rPr>
      </w:pPr>
    </w:p>
    <w:p w14:paraId="7BC2D021">
      <w:pPr>
        <w:spacing w:line="440" w:lineRule="exact"/>
        <w:jc w:val="center"/>
        <w:rPr>
          <w:b/>
          <w:bCs/>
          <w:sz w:val="32"/>
          <w:szCs w:val="32"/>
          <w:highlight w:val="none"/>
        </w:rPr>
      </w:pPr>
    </w:p>
    <w:p w14:paraId="58560DDE">
      <w:pPr>
        <w:spacing w:line="440" w:lineRule="exact"/>
        <w:jc w:val="center"/>
        <w:rPr>
          <w:b/>
          <w:bCs/>
          <w:sz w:val="32"/>
          <w:szCs w:val="32"/>
          <w:highlight w:val="none"/>
        </w:rPr>
      </w:pPr>
    </w:p>
    <w:p w14:paraId="2877AB88">
      <w:pPr>
        <w:spacing w:line="440" w:lineRule="exact"/>
        <w:jc w:val="center"/>
        <w:rPr>
          <w:b/>
          <w:bCs/>
          <w:sz w:val="32"/>
          <w:szCs w:val="32"/>
          <w:highlight w:val="none"/>
        </w:rPr>
      </w:pPr>
    </w:p>
    <w:p w14:paraId="536E879B">
      <w:pPr>
        <w:pStyle w:val="5"/>
        <w:spacing w:before="0" w:after="0" w:line="538" w:lineRule="exact"/>
        <w:jc w:val="center"/>
        <w:rPr>
          <w:highlight w:val="none"/>
        </w:rPr>
      </w:pPr>
      <w:r>
        <w:rPr>
          <w:highlight w:val="none"/>
        </w:rPr>
        <w:br w:type="page"/>
      </w:r>
      <w:r>
        <w:rPr>
          <w:rFonts w:hint="eastAsia"/>
          <w:highlight w:val="none"/>
          <w:lang w:val="en-US" w:eastAsia="zh-CN"/>
        </w:rPr>
        <w:t>8</w:t>
      </w:r>
      <w:r>
        <w:rPr>
          <w:rFonts w:hint="eastAsia"/>
          <w:highlight w:val="none"/>
        </w:rPr>
        <w:t>．</w:t>
      </w:r>
      <w:r>
        <w:rPr>
          <w:highlight w:val="none"/>
        </w:rPr>
        <w:t>参加政府采购活动前3年内在经营活动中没有重大违法记录的书面声明</w:t>
      </w:r>
    </w:p>
    <w:p w14:paraId="0BBD421C">
      <w:pPr>
        <w:pStyle w:val="111"/>
        <w:spacing w:before="0" w:after="0" w:line="420" w:lineRule="exact"/>
        <w:ind w:firstLine="0"/>
        <w:rPr>
          <w:rFonts w:ascii="Times New Roman" w:hAnsi="Times New Roman"/>
          <w:kern w:val="2"/>
          <w:szCs w:val="21"/>
          <w:highlight w:val="none"/>
        </w:rPr>
      </w:pPr>
    </w:p>
    <w:p w14:paraId="7BCE59F1">
      <w:pPr>
        <w:pStyle w:val="111"/>
        <w:spacing w:before="0" w:after="0" w:line="420" w:lineRule="exact"/>
        <w:ind w:firstLine="0"/>
        <w:jc w:val="center"/>
        <w:rPr>
          <w:rFonts w:ascii="Times New Roman" w:hAnsi="Times New Roman"/>
          <w:b/>
          <w:kern w:val="2"/>
          <w:sz w:val="32"/>
          <w:szCs w:val="32"/>
          <w:highlight w:val="none"/>
        </w:rPr>
      </w:pPr>
      <w:r>
        <w:rPr>
          <w:rFonts w:ascii="Times New Roman" w:hAnsi="Times New Roman"/>
          <w:b/>
          <w:kern w:val="2"/>
          <w:sz w:val="32"/>
          <w:szCs w:val="32"/>
          <w:highlight w:val="none"/>
        </w:rPr>
        <w:t>声 明</w:t>
      </w:r>
    </w:p>
    <w:p w14:paraId="7BEC7360">
      <w:pPr>
        <w:pStyle w:val="111"/>
        <w:spacing w:before="0" w:after="0" w:line="420" w:lineRule="exact"/>
        <w:ind w:firstLine="475" w:firstLineChars="198"/>
        <w:rPr>
          <w:rFonts w:ascii="Times New Roman" w:hAnsi="Times New Roman"/>
          <w:kern w:val="2"/>
          <w:szCs w:val="21"/>
          <w:highlight w:val="none"/>
        </w:rPr>
      </w:pPr>
      <w:r>
        <w:rPr>
          <w:rFonts w:ascii="Times New Roman" w:hAnsi="Times New Roman"/>
          <w:kern w:val="2"/>
          <w:szCs w:val="21"/>
          <w:highlight w:val="none"/>
        </w:rPr>
        <w:t xml:space="preserve">我单位郑重声明：参加本次政府采购活动前3年内，我单位在经营活动中没有因违法经营受到刑事处罚或者责令停产停业、吊销许可证或者执照、较大数额罚款等行政处罚。 </w:t>
      </w:r>
    </w:p>
    <w:p w14:paraId="2DABFB7D">
      <w:pPr>
        <w:pStyle w:val="111"/>
        <w:spacing w:before="0" w:after="0" w:line="420" w:lineRule="exact"/>
        <w:ind w:firstLine="0"/>
        <w:jc w:val="right"/>
        <w:rPr>
          <w:rFonts w:ascii="Times New Roman" w:hAnsi="Times New Roman"/>
          <w:kern w:val="2"/>
          <w:szCs w:val="21"/>
          <w:highlight w:val="none"/>
        </w:rPr>
      </w:pPr>
    </w:p>
    <w:p w14:paraId="7C66ABA2">
      <w:pPr>
        <w:pStyle w:val="111"/>
        <w:spacing w:before="0" w:after="0" w:line="420" w:lineRule="exact"/>
        <w:ind w:firstLine="0"/>
        <w:jc w:val="right"/>
        <w:rPr>
          <w:rFonts w:ascii="Times New Roman" w:hAnsi="Times New Roman"/>
          <w:kern w:val="2"/>
          <w:szCs w:val="21"/>
          <w:highlight w:val="none"/>
        </w:rPr>
      </w:pPr>
    </w:p>
    <w:p w14:paraId="5025D118">
      <w:pPr>
        <w:pStyle w:val="111"/>
        <w:spacing w:before="0" w:after="0" w:line="420" w:lineRule="exact"/>
        <w:ind w:firstLine="0"/>
        <w:jc w:val="right"/>
        <w:rPr>
          <w:rFonts w:ascii="Times New Roman" w:hAnsi="Times New Roman"/>
          <w:kern w:val="2"/>
          <w:szCs w:val="21"/>
          <w:highlight w:val="none"/>
        </w:rPr>
      </w:pPr>
    </w:p>
    <w:p w14:paraId="6273EAD6">
      <w:pPr>
        <w:pStyle w:val="111"/>
        <w:spacing w:before="0" w:after="0" w:line="420" w:lineRule="exact"/>
        <w:ind w:firstLine="0"/>
        <w:jc w:val="center"/>
        <w:rPr>
          <w:rFonts w:ascii="Times New Roman" w:hAnsi="Times New Roman"/>
          <w:kern w:val="2"/>
          <w:szCs w:val="21"/>
          <w:highlight w:val="none"/>
        </w:rPr>
      </w:pPr>
      <w:r>
        <w:rPr>
          <w:rFonts w:ascii="Times New Roman" w:hAnsi="Times New Roman"/>
          <w:kern w:val="2"/>
          <w:szCs w:val="21"/>
          <w:highlight w:val="none"/>
        </w:rPr>
        <w:t xml:space="preserve">                      供应商名称（公章）： </w:t>
      </w:r>
    </w:p>
    <w:p w14:paraId="2D226990">
      <w:pPr>
        <w:pStyle w:val="111"/>
        <w:spacing w:before="0" w:after="0" w:line="420" w:lineRule="exact"/>
        <w:ind w:firstLine="0"/>
        <w:jc w:val="right"/>
        <w:rPr>
          <w:rFonts w:ascii="Times New Roman" w:hAnsi="Times New Roman"/>
          <w:kern w:val="2"/>
          <w:szCs w:val="21"/>
          <w:highlight w:val="none"/>
        </w:rPr>
      </w:pPr>
    </w:p>
    <w:p w14:paraId="201EA29C">
      <w:pPr>
        <w:pStyle w:val="111"/>
        <w:spacing w:before="0" w:after="0" w:line="420" w:lineRule="exact"/>
        <w:ind w:firstLine="0"/>
        <w:jc w:val="right"/>
        <w:rPr>
          <w:rFonts w:ascii="Times New Roman" w:hAnsi="Times New Roman"/>
          <w:kern w:val="2"/>
          <w:szCs w:val="21"/>
          <w:highlight w:val="none"/>
        </w:rPr>
      </w:pPr>
    </w:p>
    <w:p w14:paraId="4B717A99">
      <w:pPr>
        <w:pStyle w:val="111"/>
        <w:spacing w:before="0" w:after="0" w:line="420" w:lineRule="exact"/>
        <w:ind w:firstLineChars="200"/>
        <w:jc w:val="right"/>
        <w:rPr>
          <w:rFonts w:ascii="Times New Roman" w:hAnsi="Times New Roman"/>
          <w:kern w:val="2"/>
          <w:szCs w:val="21"/>
          <w:highlight w:val="none"/>
        </w:rPr>
      </w:pPr>
      <w:r>
        <w:rPr>
          <w:rFonts w:ascii="Times New Roman" w:hAnsi="Times New Roman"/>
          <w:kern w:val="2"/>
          <w:szCs w:val="21"/>
          <w:highlight w:val="none"/>
        </w:rPr>
        <w:t>日    期：</w:t>
      </w:r>
      <w:r>
        <w:rPr>
          <w:rFonts w:ascii="Times New Roman" w:hAnsi="Times New Roman"/>
          <w:kern w:val="2"/>
          <w:szCs w:val="21"/>
          <w:highlight w:val="none"/>
          <w:u w:val="single"/>
        </w:rPr>
        <w:t xml:space="preserve">       </w:t>
      </w:r>
      <w:r>
        <w:rPr>
          <w:rFonts w:ascii="Times New Roman" w:hAnsi="Times New Roman"/>
          <w:kern w:val="2"/>
          <w:szCs w:val="21"/>
          <w:highlight w:val="none"/>
        </w:rPr>
        <w:t>年</w:t>
      </w:r>
      <w:r>
        <w:rPr>
          <w:rFonts w:ascii="Times New Roman" w:hAnsi="Times New Roman"/>
          <w:kern w:val="2"/>
          <w:szCs w:val="21"/>
          <w:highlight w:val="none"/>
          <w:u w:val="single"/>
        </w:rPr>
        <w:t xml:space="preserve">    </w:t>
      </w:r>
      <w:r>
        <w:rPr>
          <w:rFonts w:ascii="Times New Roman" w:hAnsi="Times New Roman"/>
          <w:kern w:val="2"/>
          <w:szCs w:val="21"/>
          <w:highlight w:val="none"/>
        </w:rPr>
        <w:t>月</w:t>
      </w:r>
      <w:r>
        <w:rPr>
          <w:rFonts w:ascii="Times New Roman" w:hAnsi="Times New Roman"/>
          <w:kern w:val="2"/>
          <w:szCs w:val="21"/>
          <w:highlight w:val="none"/>
          <w:u w:val="single"/>
        </w:rPr>
        <w:t xml:space="preserve">    </w:t>
      </w:r>
      <w:r>
        <w:rPr>
          <w:rFonts w:ascii="Times New Roman" w:hAnsi="Times New Roman"/>
          <w:kern w:val="2"/>
          <w:szCs w:val="21"/>
          <w:highlight w:val="none"/>
        </w:rPr>
        <w:t xml:space="preserve">日                        </w:t>
      </w:r>
    </w:p>
    <w:p w14:paraId="281C4F5D">
      <w:pPr>
        <w:pStyle w:val="5"/>
        <w:spacing w:before="0" w:after="0" w:line="538" w:lineRule="exact"/>
        <w:jc w:val="center"/>
        <w:rPr>
          <w:highlight w:val="none"/>
        </w:rPr>
      </w:pPr>
      <w:r>
        <w:rPr>
          <w:highlight w:val="none"/>
        </w:rPr>
        <w:br w:type="page"/>
      </w:r>
      <w:r>
        <w:rPr>
          <w:rFonts w:hint="eastAsia"/>
          <w:highlight w:val="none"/>
          <w:lang w:val="en-US" w:eastAsia="zh-CN"/>
        </w:rPr>
        <w:t>9</w:t>
      </w:r>
      <w:r>
        <w:rPr>
          <w:rFonts w:hint="eastAsia"/>
          <w:highlight w:val="none"/>
        </w:rPr>
        <w:t>．</w:t>
      </w:r>
      <w:r>
        <w:rPr>
          <w:highlight w:val="none"/>
        </w:rPr>
        <w:t>不存在与参加本项目的其他供应商单位负责人为同一人或者存在直接控股、管理关系的承诺</w:t>
      </w:r>
    </w:p>
    <w:p w14:paraId="038D1379">
      <w:pPr>
        <w:pStyle w:val="111"/>
        <w:spacing w:before="0" w:after="0" w:line="420" w:lineRule="exact"/>
        <w:ind w:firstLine="0"/>
        <w:rPr>
          <w:rFonts w:ascii="Times New Roman" w:hAnsi="Times New Roman"/>
          <w:kern w:val="2"/>
          <w:szCs w:val="21"/>
          <w:highlight w:val="none"/>
        </w:rPr>
      </w:pPr>
    </w:p>
    <w:p w14:paraId="573353CF">
      <w:pPr>
        <w:pStyle w:val="111"/>
        <w:spacing w:before="0" w:after="0" w:line="420" w:lineRule="exact"/>
        <w:ind w:firstLine="0"/>
        <w:rPr>
          <w:rFonts w:ascii="Times New Roman" w:hAnsi="Times New Roman"/>
          <w:kern w:val="2"/>
          <w:szCs w:val="21"/>
          <w:highlight w:val="none"/>
        </w:rPr>
      </w:pPr>
      <w:r>
        <w:rPr>
          <w:rFonts w:ascii="Times New Roman" w:hAnsi="Times New Roman"/>
          <w:kern w:val="2"/>
          <w:szCs w:val="21"/>
          <w:highlight w:val="none"/>
        </w:rPr>
        <w:t>致：江苏省体育装备中心</w:t>
      </w:r>
    </w:p>
    <w:p w14:paraId="1BB90247">
      <w:pPr>
        <w:spacing w:line="460" w:lineRule="exact"/>
        <w:ind w:firstLine="492"/>
        <w:rPr>
          <w:bCs/>
          <w:sz w:val="24"/>
          <w:highlight w:val="none"/>
        </w:rPr>
      </w:pPr>
      <w:r>
        <w:rPr>
          <w:bCs/>
          <w:sz w:val="24"/>
          <w:highlight w:val="none"/>
        </w:rPr>
        <w:t>我单位参加贵中心组织的</w:t>
      </w:r>
      <w:r>
        <w:rPr>
          <w:b/>
          <w:highlight w:val="none"/>
          <w:u w:val="single"/>
        </w:rPr>
        <w:t xml:space="preserve">        </w:t>
      </w:r>
      <w:r>
        <w:rPr>
          <w:bCs/>
          <w:highlight w:val="none"/>
        </w:rPr>
        <w:t xml:space="preserve"> </w:t>
      </w:r>
      <w:r>
        <w:rPr>
          <w:sz w:val="24"/>
          <w:szCs w:val="24"/>
          <w:highlight w:val="none"/>
        </w:rPr>
        <w:t>项目（项目编号：</w:t>
      </w:r>
      <w:r>
        <w:rPr>
          <w:b/>
          <w:sz w:val="24"/>
          <w:szCs w:val="24"/>
          <w:highlight w:val="none"/>
          <w:u w:val="single"/>
        </w:rPr>
        <w:t xml:space="preserve">          </w:t>
      </w:r>
      <w:r>
        <w:rPr>
          <w:sz w:val="24"/>
          <w:szCs w:val="24"/>
          <w:highlight w:val="none"/>
        </w:rPr>
        <w:t>）采购</w:t>
      </w:r>
      <w:r>
        <w:rPr>
          <w:sz w:val="24"/>
          <w:szCs w:val="21"/>
          <w:highlight w:val="none"/>
        </w:rPr>
        <w:t>活动，郑</w:t>
      </w:r>
      <w:r>
        <w:rPr>
          <w:bCs/>
          <w:sz w:val="24"/>
          <w:highlight w:val="none"/>
        </w:rPr>
        <w:t>重承诺：在参加本次采购活动不存在</w:t>
      </w:r>
      <w:r>
        <w:rPr>
          <w:sz w:val="24"/>
          <w:szCs w:val="21"/>
          <w:highlight w:val="none"/>
        </w:rPr>
        <w:t>与参加本项目的其他供应商单位负责人为同一人或者存在直接控股、管理关系。本</w:t>
      </w:r>
      <w:r>
        <w:rPr>
          <w:bCs/>
          <w:sz w:val="24"/>
          <w:highlight w:val="none"/>
        </w:rPr>
        <w:t>单位对上述承诺的真实性负责。如有虚假，将依法承担相应责任。</w:t>
      </w:r>
    </w:p>
    <w:p w14:paraId="18D28AFF">
      <w:pPr>
        <w:spacing w:line="460" w:lineRule="exact"/>
        <w:ind w:firstLine="492"/>
        <w:rPr>
          <w:bCs/>
          <w:sz w:val="24"/>
          <w:highlight w:val="none"/>
        </w:rPr>
      </w:pPr>
    </w:p>
    <w:p w14:paraId="1B90B580">
      <w:pPr>
        <w:spacing w:line="460" w:lineRule="exact"/>
        <w:rPr>
          <w:bCs/>
          <w:sz w:val="24"/>
          <w:highlight w:val="none"/>
        </w:rPr>
      </w:pPr>
      <w:r>
        <w:rPr>
          <w:bCs/>
          <w:sz w:val="24"/>
          <w:highlight w:val="none"/>
        </w:rPr>
        <w:t xml:space="preserve">                                      </w:t>
      </w:r>
      <w:r>
        <w:rPr>
          <w:sz w:val="24"/>
          <w:szCs w:val="24"/>
          <w:highlight w:val="none"/>
        </w:rPr>
        <w:t>供应商</w:t>
      </w:r>
      <w:r>
        <w:rPr>
          <w:bCs/>
          <w:sz w:val="24"/>
          <w:highlight w:val="none"/>
        </w:rPr>
        <w:t>名称（公章）：</w:t>
      </w:r>
    </w:p>
    <w:p w14:paraId="5D577978">
      <w:pPr>
        <w:spacing w:line="460" w:lineRule="exact"/>
        <w:rPr>
          <w:bCs/>
          <w:sz w:val="24"/>
          <w:highlight w:val="none"/>
        </w:rPr>
      </w:pPr>
      <w:r>
        <w:rPr>
          <w:bCs/>
          <w:sz w:val="24"/>
          <w:highlight w:val="none"/>
        </w:rPr>
        <w:t xml:space="preserve">                                     </w:t>
      </w:r>
    </w:p>
    <w:p w14:paraId="0AEF5BF7">
      <w:pPr>
        <w:spacing w:line="460" w:lineRule="exact"/>
        <w:rPr>
          <w:bCs/>
          <w:sz w:val="24"/>
          <w:highlight w:val="none"/>
        </w:rPr>
      </w:pPr>
      <w:r>
        <w:rPr>
          <w:bCs/>
          <w:sz w:val="24"/>
          <w:highlight w:val="none"/>
        </w:rPr>
        <w:t xml:space="preserve">                                     日期：</w:t>
      </w:r>
      <w:r>
        <w:rPr>
          <w:bCs/>
          <w:sz w:val="24"/>
          <w:highlight w:val="none"/>
          <w:u w:val="single"/>
        </w:rPr>
        <w:t xml:space="preserve">    </w:t>
      </w:r>
      <w:r>
        <w:rPr>
          <w:bCs/>
          <w:sz w:val="24"/>
          <w:highlight w:val="none"/>
        </w:rPr>
        <w:t>年</w:t>
      </w:r>
      <w:r>
        <w:rPr>
          <w:bCs/>
          <w:sz w:val="24"/>
          <w:highlight w:val="none"/>
          <w:u w:val="single"/>
        </w:rPr>
        <w:t xml:space="preserve">    </w:t>
      </w:r>
      <w:r>
        <w:rPr>
          <w:bCs/>
          <w:sz w:val="24"/>
          <w:highlight w:val="none"/>
        </w:rPr>
        <w:t>月</w:t>
      </w:r>
      <w:r>
        <w:rPr>
          <w:bCs/>
          <w:sz w:val="24"/>
          <w:highlight w:val="none"/>
          <w:u w:val="single"/>
        </w:rPr>
        <w:t xml:space="preserve">    </w:t>
      </w:r>
      <w:r>
        <w:rPr>
          <w:bCs/>
          <w:sz w:val="24"/>
          <w:highlight w:val="none"/>
        </w:rPr>
        <w:t>日</w:t>
      </w:r>
    </w:p>
    <w:p w14:paraId="1A0DF465">
      <w:pPr>
        <w:spacing w:line="460" w:lineRule="exact"/>
        <w:rPr>
          <w:bCs/>
          <w:sz w:val="24"/>
          <w:highlight w:val="none"/>
        </w:rPr>
      </w:pPr>
    </w:p>
    <w:p w14:paraId="5CD20D3C">
      <w:pPr>
        <w:spacing w:line="440" w:lineRule="exact"/>
        <w:jc w:val="center"/>
        <w:rPr>
          <w:b/>
          <w:bCs/>
          <w:sz w:val="32"/>
          <w:szCs w:val="32"/>
          <w:highlight w:val="none"/>
        </w:rPr>
      </w:pPr>
    </w:p>
    <w:p w14:paraId="1FC34CA9">
      <w:pPr>
        <w:spacing w:line="440" w:lineRule="exact"/>
        <w:jc w:val="center"/>
        <w:rPr>
          <w:b/>
          <w:bCs/>
          <w:sz w:val="32"/>
          <w:szCs w:val="32"/>
          <w:highlight w:val="none"/>
        </w:rPr>
      </w:pPr>
    </w:p>
    <w:p w14:paraId="1D1C8F9A">
      <w:pPr>
        <w:spacing w:line="440" w:lineRule="exact"/>
        <w:jc w:val="center"/>
        <w:rPr>
          <w:b/>
          <w:bCs/>
          <w:sz w:val="32"/>
          <w:szCs w:val="32"/>
          <w:highlight w:val="none"/>
        </w:rPr>
      </w:pPr>
    </w:p>
    <w:p w14:paraId="260A26BD">
      <w:pPr>
        <w:spacing w:line="440" w:lineRule="exact"/>
        <w:jc w:val="center"/>
        <w:rPr>
          <w:b/>
          <w:bCs/>
          <w:sz w:val="32"/>
          <w:szCs w:val="32"/>
          <w:highlight w:val="none"/>
        </w:rPr>
      </w:pPr>
    </w:p>
    <w:p w14:paraId="3FF8A94B">
      <w:pPr>
        <w:pStyle w:val="5"/>
        <w:spacing w:before="0" w:after="0" w:line="538" w:lineRule="exact"/>
        <w:ind w:firstLine="482" w:firstLineChars="150"/>
        <w:jc w:val="center"/>
        <w:rPr>
          <w:highlight w:val="none"/>
        </w:rPr>
      </w:pPr>
      <w:r>
        <w:rPr>
          <w:highlight w:val="none"/>
        </w:rPr>
        <w:br w:type="page"/>
      </w:r>
      <w:r>
        <w:rPr>
          <w:rFonts w:hint="eastAsia"/>
          <w:highlight w:val="none"/>
        </w:rPr>
        <w:t>1</w:t>
      </w:r>
      <w:r>
        <w:rPr>
          <w:rFonts w:hint="eastAsia"/>
          <w:highlight w:val="none"/>
          <w:lang w:val="en-US" w:eastAsia="zh-CN"/>
        </w:rPr>
        <w:t>0</w:t>
      </w:r>
      <w:r>
        <w:rPr>
          <w:rFonts w:hint="eastAsia"/>
          <w:highlight w:val="none"/>
        </w:rPr>
        <w:t>．</w:t>
      </w:r>
      <w:r>
        <w:rPr>
          <w:highlight w:val="none"/>
        </w:rPr>
        <w:t>非联合体</w:t>
      </w:r>
      <w:r>
        <w:rPr>
          <w:rFonts w:hint="eastAsia"/>
          <w:highlight w:val="none"/>
        </w:rPr>
        <w:t>投标</w:t>
      </w:r>
      <w:r>
        <w:rPr>
          <w:highlight w:val="none"/>
        </w:rPr>
        <w:t>承诺函</w:t>
      </w:r>
    </w:p>
    <w:p w14:paraId="16487297">
      <w:pPr>
        <w:pStyle w:val="111"/>
        <w:spacing w:before="0" w:after="0" w:line="420" w:lineRule="exact"/>
        <w:ind w:firstLine="0"/>
        <w:rPr>
          <w:rFonts w:ascii="Times New Roman" w:hAnsi="Times New Roman"/>
          <w:kern w:val="2"/>
          <w:szCs w:val="21"/>
          <w:highlight w:val="none"/>
        </w:rPr>
      </w:pPr>
    </w:p>
    <w:p w14:paraId="0EC2E487">
      <w:pPr>
        <w:pStyle w:val="111"/>
        <w:spacing w:before="0" w:after="0" w:line="420" w:lineRule="exact"/>
        <w:ind w:firstLine="0"/>
        <w:rPr>
          <w:rFonts w:ascii="Times New Roman" w:hAnsi="Times New Roman"/>
          <w:kern w:val="2"/>
          <w:szCs w:val="21"/>
          <w:highlight w:val="none"/>
        </w:rPr>
      </w:pPr>
      <w:r>
        <w:rPr>
          <w:rFonts w:ascii="Times New Roman" w:hAnsi="Times New Roman"/>
          <w:kern w:val="2"/>
          <w:szCs w:val="21"/>
          <w:highlight w:val="none"/>
        </w:rPr>
        <w:t>致：江苏省体育装备中心</w:t>
      </w:r>
    </w:p>
    <w:p w14:paraId="0BF5EC57">
      <w:pPr>
        <w:spacing w:line="460" w:lineRule="exact"/>
        <w:ind w:firstLine="492"/>
        <w:rPr>
          <w:bCs/>
          <w:sz w:val="24"/>
          <w:szCs w:val="24"/>
          <w:highlight w:val="none"/>
        </w:rPr>
      </w:pPr>
      <w:r>
        <w:rPr>
          <w:bCs/>
          <w:sz w:val="24"/>
          <w:highlight w:val="none"/>
        </w:rPr>
        <w:t>我单位参加贵中心组织的</w:t>
      </w:r>
      <w:r>
        <w:rPr>
          <w:b/>
          <w:highlight w:val="none"/>
          <w:u w:val="single"/>
        </w:rPr>
        <w:t xml:space="preserve">        </w:t>
      </w:r>
      <w:r>
        <w:rPr>
          <w:bCs/>
          <w:highlight w:val="none"/>
        </w:rPr>
        <w:t xml:space="preserve"> </w:t>
      </w:r>
      <w:r>
        <w:rPr>
          <w:highlight w:val="none"/>
        </w:rPr>
        <w:t>项</w:t>
      </w:r>
      <w:r>
        <w:rPr>
          <w:sz w:val="24"/>
          <w:szCs w:val="24"/>
          <w:highlight w:val="none"/>
        </w:rPr>
        <w:t>目（项目编号：</w:t>
      </w:r>
      <w:r>
        <w:rPr>
          <w:b/>
          <w:sz w:val="24"/>
          <w:szCs w:val="24"/>
          <w:highlight w:val="none"/>
          <w:u w:val="single"/>
        </w:rPr>
        <w:t xml:space="preserve">        </w:t>
      </w:r>
      <w:r>
        <w:rPr>
          <w:rFonts w:hint="eastAsia"/>
          <w:b/>
          <w:sz w:val="24"/>
          <w:szCs w:val="24"/>
          <w:highlight w:val="none"/>
          <w:u w:val="single"/>
        </w:rPr>
        <w:t xml:space="preserve">  </w:t>
      </w:r>
      <w:r>
        <w:rPr>
          <w:b/>
          <w:sz w:val="24"/>
          <w:szCs w:val="24"/>
          <w:highlight w:val="none"/>
          <w:u w:val="single"/>
        </w:rPr>
        <w:t xml:space="preserve">  </w:t>
      </w:r>
      <w:r>
        <w:rPr>
          <w:sz w:val="24"/>
          <w:szCs w:val="24"/>
          <w:highlight w:val="none"/>
        </w:rPr>
        <w:t>）采购活动，郑</w:t>
      </w:r>
      <w:r>
        <w:rPr>
          <w:bCs/>
          <w:sz w:val="24"/>
          <w:szCs w:val="24"/>
          <w:highlight w:val="none"/>
        </w:rPr>
        <w:t>重承诺：非联合体参与</w:t>
      </w:r>
      <w:r>
        <w:rPr>
          <w:rFonts w:hint="eastAsia"/>
          <w:bCs/>
          <w:sz w:val="24"/>
          <w:szCs w:val="24"/>
          <w:highlight w:val="none"/>
        </w:rPr>
        <w:t>投标</w:t>
      </w:r>
      <w:r>
        <w:rPr>
          <w:bCs/>
          <w:sz w:val="24"/>
          <w:szCs w:val="24"/>
          <w:highlight w:val="none"/>
        </w:rPr>
        <w:t>。</w:t>
      </w:r>
    </w:p>
    <w:p w14:paraId="03C875B5">
      <w:pPr>
        <w:spacing w:line="460" w:lineRule="exact"/>
        <w:ind w:firstLine="492"/>
        <w:rPr>
          <w:bCs/>
          <w:sz w:val="24"/>
          <w:highlight w:val="none"/>
        </w:rPr>
      </w:pPr>
    </w:p>
    <w:p w14:paraId="2AC88094">
      <w:pPr>
        <w:spacing w:line="460" w:lineRule="exact"/>
        <w:rPr>
          <w:bCs/>
          <w:sz w:val="24"/>
          <w:highlight w:val="none"/>
        </w:rPr>
      </w:pPr>
      <w:r>
        <w:rPr>
          <w:bCs/>
          <w:sz w:val="24"/>
          <w:highlight w:val="none"/>
        </w:rPr>
        <w:t xml:space="preserve">                                      </w:t>
      </w:r>
      <w:r>
        <w:rPr>
          <w:sz w:val="24"/>
          <w:szCs w:val="24"/>
          <w:highlight w:val="none"/>
        </w:rPr>
        <w:t>供应商</w:t>
      </w:r>
      <w:r>
        <w:rPr>
          <w:bCs/>
          <w:sz w:val="24"/>
          <w:highlight w:val="none"/>
        </w:rPr>
        <w:t>名称（公章）：</w:t>
      </w:r>
    </w:p>
    <w:p w14:paraId="5382BC1D">
      <w:pPr>
        <w:spacing w:line="460" w:lineRule="exact"/>
        <w:rPr>
          <w:bCs/>
          <w:sz w:val="24"/>
          <w:highlight w:val="none"/>
        </w:rPr>
      </w:pPr>
      <w:r>
        <w:rPr>
          <w:bCs/>
          <w:sz w:val="24"/>
          <w:highlight w:val="none"/>
        </w:rPr>
        <w:t xml:space="preserve">                                     </w:t>
      </w:r>
    </w:p>
    <w:p w14:paraId="13FEB79D">
      <w:pPr>
        <w:spacing w:line="460" w:lineRule="exact"/>
        <w:rPr>
          <w:bCs/>
          <w:sz w:val="24"/>
          <w:highlight w:val="none"/>
        </w:rPr>
      </w:pPr>
      <w:r>
        <w:rPr>
          <w:bCs/>
          <w:sz w:val="24"/>
          <w:highlight w:val="none"/>
        </w:rPr>
        <w:t xml:space="preserve">                                     日期：</w:t>
      </w:r>
      <w:r>
        <w:rPr>
          <w:bCs/>
          <w:sz w:val="24"/>
          <w:highlight w:val="none"/>
          <w:u w:val="single"/>
        </w:rPr>
        <w:t xml:space="preserve">    </w:t>
      </w:r>
      <w:r>
        <w:rPr>
          <w:bCs/>
          <w:sz w:val="24"/>
          <w:highlight w:val="none"/>
        </w:rPr>
        <w:t>年</w:t>
      </w:r>
      <w:r>
        <w:rPr>
          <w:bCs/>
          <w:sz w:val="24"/>
          <w:highlight w:val="none"/>
          <w:u w:val="single"/>
        </w:rPr>
        <w:t xml:space="preserve">    </w:t>
      </w:r>
      <w:r>
        <w:rPr>
          <w:bCs/>
          <w:sz w:val="24"/>
          <w:highlight w:val="none"/>
        </w:rPr>
        <w:t>月</w:t>
      </w:r>
      <w:r>
        <w:rPr>
          <w:bCs/>
          <w:sz w:val="24"/>
          <w:highlight w:val="none"/>
          <w:u w:val="single"/>
        </w:rPr>
        <w:t xml:space="preserve">    </w:t>
      </w:r>
      <w:r>
        <w:rPr>
          <w:bCs/>
          <w:sz w:val="24"/>
          <w:highlight w:val="none"/>
        </w:rPr>
        <w:t>日</w:t>
      </w:r>
    </w:p>
    <w:p w14:paraId="0CA0ED5E">
      <w:pPr>
        <w:rPr>
          <w:highlight w:val="none"/>
        </w:rPr>
      </w:pPr>
    </w:p>
    <w:p w14:paraId="346B92AE">
      <w:pPr>
        <w:pStyle w:val="5"/>
        <w:spacing w:before="0" w:after="0" w:line="538" w:lineRule="exact"/>
        <w:ind w:firstLine="482" w:firstLineChars="150"/>
        <w:jc w:val="center"/>
        <w:rPr>
          <w:highlight w:val="none"/>
        </w:rPr>
      </w:pPr>
      <w:r>
        <w:rPr>
          <w:szCs w:val="24"/>
          <w:highlight w:val="none"/>
        </w:rPr>
        <w:br w:type="page"/>
      </w:r>
      <w:r>
        <w:rPr>
          <w:rFonts w:hint="eastAsia"/>
          <w:szCs w:val="24"/>
          <w:highlight w:val="none"/>
        </w:rPr>
        <w:t>1</w:t>
      </w:r>
      <w:r>
        <w:rPr>
          <w:rFonts w:hint="eastAsia"/>
          <w:szCs w:val="24"/>
          <w:highlight w:val="none"/>
          <w:lang w:val="en-US" w:eastAsia="zh-CN"/>
        </w:rPr>
        <w:t>1</w:t>
      </w:r>
      <w:r>
        <w:rPr>
          <w:rFonts w:hint="eastAsia"/>
          <w:szCs w:val="24"/>
          <w:highlight w:val="none"/>
        </w:rPr>
        <w:t>．</w:t>
      </w:r>
      <w:r>
        <w:rPr>
          <w:highlight w:val="none"/>
        </w:rPr>
        <w:t>非进口产品承诺函</w:t>
      </w:r>
    </w:p>
    <w:p w14:paraId="15DB3A38">
      <w:pPr>
        <w:pStyle w:val="111"/>
        <w:spacing w:before="0" w:after="0" w:line="420" w:lineRule="exact"/>
        <w:ind w:firstLine="0"/>
        <w:rPr>
          <w:rFonts w:ascii="Times New Roman" w:hAnsi="Times New Roman"/>
          <w:kern w:val="2"/>
          <w:szCs w:val="21"/>
          <w:highlight w:val="none"/>
        </w:rPr>
      </w:pPr>
    </w:p>
    <w:p w14:paraId="5542C805">
      <w:pPr>
        <w:pStyle w:val="111"/>
        <w:spacing w:before="0" w:after="0" w:line="420" w:lineRule="exact"/>
        <w:ind w:firstLine="0"/>
        <w:rPr>
          <w:rFonts w:ascii="Times New Roman" w:hAnsi="Times New Roman"/>
          <w:kern w:val="2"/>
          <w:szCs w:val="21"/>
          <w:highlight w:val="none"/>
        </w:rPr>
      </w:pPr>
      <w:r>
        <w:rPr>
          <w:rFonts w:ascii="Times New Roman" w:hAnsi="Times New Roman"/>
          <w:kern w:val="2"/>
          <w:szCs w:val="21"/>
          <w:highlight w:val="none"/>
        </w:rPr>
        <w:t>致：江苏省体育装备中心</w:t>
      </w:r>
    </w:p>
    <w:p w14:paraId="1E10CD2D">
      <w:pPr>
        <w:spacing w:line="460" w:lineRule="exact"/>
        <w:ind w:firstLine="492"/>
        <w:rPr>
          <w:rFonts w:ascii="Times New Roman" w:hAnsi="Times New Roman"/>
          <w:bCs/>
          <w:sz w:val="24"/>
          <w:szCs w:val="24"/>
          <w:highlight w:val="none"/>
        </w:rPr>
      </w:pPr>
      <w:r>
        <w:rPr>
          <w:rFonts w:ascii="Times New Roman" w:hAnsi="Times New Roman"/>
          <w:bCs/>
          <w:sz w:val="24"/>
          <w:highlight w:val="none"/>
        </w:rPr>
        <w:t>我单位参加贵中心组织的</w:t>
      </w:r>
      <w:r>
        <w:rPr>
          <w:rFonts w:ascii="Times New Roman" w:hAnsi="Times New Roman"/>
          <w:b/>
          <w:highlight w:val="none"/>
          <w:u w:val="single"/>
        </w:rPr>
        <w:t xml:space="preserve">        </w:t>
      </w:r>
      <w:r>
        <w:rPr>
          <w:rFonts w:ascii="Times New Roman" w:hAnsi="Times New Roman"/>
          <w:bCs/>
          <w:highlight w:val="none"/>
        </w:rPr>
        <w:t xml:space="preserve"> </w:t>
      </w:r>
      <w:r>
        <w:rPr>
          <w:rFonts w:ascii="Times New Roman" w:hAnsi="Times New Roman"/>
          <w:highlight w:val="none"/>
        </w:rPr>
        <w:t>项</w:t>
      </w:r>
      <w:r>
        <w:rPr>
          <w:rFonts w:ascii="Times New Roman" w:hAnsi="Times New Roman"/>
          <w:sz w:val="24"/>
          <w:szCs w:val="24"/>
          <w:highlight w:val="none"/>
        </w:rPr>
        <w:t>目（项目编号：</w:t>
      </w:r>
      <w:r>
        <w:rPr>
          <w:rFonts w:ascii="Times New Roman" w:hAnsi="Times New Roman"/>
          <w:b/>
          <w:sz w:val="24"/>
          <w:szCs w:val="24"/>
          <w:highlight w:val="none"/>
          <w:u w:val="single"/>
        </w:rPr>
        <w:t xml:space="preserve">          </w:t>
      </w:r>
      <w:r>
        <w:rPr>
          <w:rFonts w:ascii="Times New Roman" w:hAnsi="Times New Roman"/>
          <w:sz w:val="24"/>
          <w:szCs w:val="24"/>
          <w:highlight w:val="none"/>
        </w:rPr>
        <w:t>）政府采购活动，郑</w:t>
      </w:r>
      <w:r>
        <w:rPr>
          <w:rFonts w:ascii="Times New Roman" w:hAnsi="Times New Roman"/>
          <w:bCs/>
          <w:sz w:val="24"/>
          <w:szCs w:val="24"/>
          <w:highlight w:val="none"/>
        </w:rPr>
        <w:t>重承诺：非进口产品参与投标。</w:t>
      </w:r>
    </w:p>
    <w:p w14:paraId="3F9ECFD7">
      <w:pPr>
        <w:spacing w:line="460" w:lineRule="exact"/>
        <w:ind w:firstLine="492"/>
        <w:rPr>
          <w:rFonts w:ascii="Times New Roman" w:hAnsi="Times New Roman"/>
          <w:bCs/>
          <w:sz w:val="24"/>
          <w:highlight w:val="none"/>
        </w:rPr>
      </w:pPr>
    </w:p>
    <w:p w14:paraId="368B4982">
      <w:pPr>
        <w:spacing w:line="460" w:lineRule="exact"/>
        <w:rPr>
          <w:rFonts w:ascii="Times New Roman" w:hAnsi="Times New Roman"/>
          <w:bCs/>
          <w:sz w:val="24"/>
          <w:highlight w:val="none"/>
        </w:rPr>
      </w:pPr>
      <w:r>
        <w:rPr>
          <w:rFonts w:ascii="Times New Roman" w:hAnsi="Times New Roman"/>
          <w:bCs/>
          <w:sz w:val="24"/>
          <w:highlight w:val="none"/>
        </w:rPr>
        <w:t xml:space="preserve">                                      </w:t>
      </w:r>
      <w:r>
        <w:rPr>
          <w:rFonts w:ascii="Times New Roman" w:hAnsi="Times New Roman"/>
          <w:sz w:val="24"/>
          <w:szCs w:val="24"/>
          <w:highlight w:val="none"/>
        </w:rPr>
        <w:t>供应商</w:t>
      </w:r>
      <w:r>
        <w:rPr>
          <w:rFonts w:ascii="Times New Roman" w:hAnsi="Times New Roman"/>
          <w:bCs/>
          <w:sz w:val="24"/>
          <w:highlight w:val="none"/>
        </w:rPr>
        <w:t>名称（公章）：</w:t>
      </w:r>
    </w:p>
    <w:p w14:paraId="027ABD2C">
      <w:pPr>
        <w:spacing w:line="460" w:lineRule="exact"/>
        <w:rPr>
          <w:rFonts w:ascii="Times New Roman" w:hAnsi="Times New Roman"/>
          <w:bCs/>
          <w:sz w:val="24"/>
          <w:highlight w:val="none"/>
        </w:rPr>
      </w:pPr>
      <w:r>
        <w:rPr>
          <w:rFonts w:ascii="Times New Roman" w:hAnsi="Times New Roman"/>
          <w:bCs/>
          <w:sz w:val="24"/>
          <w:highlight w:val="none"/>
        </w:rPr>
        <w:t xml:space="preserve">                                     </w:t>
      </w:r>
    </w:p>
    <w:p w14:paraId="1B911C9D">
      <w:pPr>
        <w:spacing w:line="460" w:lineRule="exact"/>
        <w:rPr>
          <w:rFonts w:ascii="Times New Roman" w:hAnsi="Times New Roman"/>
          <w:bCs/>
          <w:sz w:val="24"/>
          <w:highlight w:val="none"/>
        </w:rPr>
      </w:pPr>
      <w:r>
        <w:rPr>
          <w:rFonts w:ascii="Times New Roman" w:hAnsi="Times New Roman"/>
          <w:bCs/>
          <w:sz w:val="24"/>
          <w:highlight w:val="none"/>
        </w:rPr>
        <w:t xml:space="preserve">                                     日期：</w:t>
      </w:r>
      <w:r>
        <w:rPr>
          <w:rFonts w:ascii="Times New Roman" w:hAnsi="Times New Roman"/>
          <w:bCs/>
          <w:sz w:val="24"/>
          <w:highlight w:val="none"/>
          <w:u w:val="single"/>
        </w:rPr>
        <w:t xml:space="preserve">    </w:t>
      </w:r>
      <w:r>
        <w:rPr>
          <w:rFonts w:ascii="Times New Roman" w:hAnsi="Times New Roman"/>
          <w:bCs/>
          <w:sz w:val="24"/>
          <w:highlight w:val="none"/>
        </w:rPr>
        <w:t>年</w:t>
      </w:r>
      <w:r>
        <w:rPr>
          <w:rFonts w:ascii="Times New Roman" w:hAnsi="Times New Roman"/>
          <w:bCs/>
          <w:sz w:val="24"/>
          <w:highlight w:val="none"/>
          <w:u w:val="single"/>
        </w:rPr>
        <w:t xml:space="preserve">    </w:t>
      </w:r>
      <w:r>
        <w:rPr>
          <w:rFonts w:ascii="Times New Roman" w:hAnsi="Times New Roman"/>
          <w:bCs/>
          <w:sz w:val="24"/>
          <w:highlight w:val="none"/>
        </w:rPr>
        <w:t>月</w:t>
      </w:r>
      <w:r>
        <w:rPr>
          <w:rFonts w:ascii="Times New Roman" w:hAnsi="Times New Roman"/>
          <w:bCs/>
          <w:sz w:val="24"/>
          <w:highlight w:val="none"/>
          <w:u w:val="single"/>
        </w:rPr>
        <w:t xml:space="preserve">    </w:t>
      </w:r>
      <w:r>
        <w:rPr>
          <w:rFonts w:ascii="Times New Roman" w:hAnsi="Times New Roman"/>
          <w:bCs/>
          <w:sz w:val="24"/>
          <w:highlight w:val="none"/>
        </w:rPr>
        <w:t>日</w:t>
      </w:r>
    </w:p>
    <w:p w14:paraId="7A685D9D">
      <w:pPr>
        <w:pStyle w:val="5"/>
        <w:spacing w:before="0" w:after="0" w:line="538" w:lineRule="exact"/>
        <w:ind w:firstLine="482" w:firstLineChars="150"/>
        <w:jc w:val="center"/>
        <w:rPr>
          <w:highlight w:val="none"/>
        </w:rPr>
      </w:pPr>
      <w:r>
        <w:rPr>
          <w:szCs w:val="24"/>
          <w:highlight w:val="none"/>
        </w:rPr>
        <w:br w:type="page"/>
      </w:r>
      <w:r>
        <w:rPr>
          <w:rFonts w:hint="eastAsia"/>
          <w:highlight w:val="none"/>
        </w:rPr>
        <w:t>1</w:t>
      </w:r>
      <w:r>
        <w:rPr>
          <w:rFonts w:hint="eastAsia"/>
          <w:highlight w:val="none"/>
          <w:lang w:val="en-US" w:eastAsia="zh-CN"/>
        </w:rPr>
        <w:t>2</w:t>
      </w:r>
      <w:r>
        <w:rPr>
          <w:rFonts w:hint="eastAsia"/>
          <w:highlight w:val="none"/>
        </w:rPr>
        <w:t>．技术要求</w:t>
      </w:r>
      <w:r>
        <w:rPr>
          <w:highlight w:val="none"/>
        </w:rPr>
        <w:t>响应偏离表</w:t>
      </w:r>
    </w:p>
    <w:tbl>
      <w:tblPr>
        <w:tblStyle w:val="37"/>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7"/>
        <w:gridCol w:w="1985"/>
        <w:gridCol w:w="2976"/>
        <w:gridCol w:w="1418"/>
        <w:gridCol w:w="1276"/>
      </w:tblGrid>
      <w:tr w14:paraId="1CFCC0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4BF128B2">
            <w:pPr>
              <w:snapToGrid w:val="0"/>
              <w:spacing w:before="156" w:beforeLines="50"/>
              <w:jc w:val="center"/>
              <w:rPr>
                <w:sz w:val="24"/>
                <w:szCs w:val="24"/>
                <w:highlight w:val="none"/>
              </w:rPr>
            </w:pPr>
            <w:r>
              <w:rPr>
                <w:sz w:val="24"/>
                <w:szCs w:val="24"/>
                <w:highlight w:val="none"/>
              </w:rPr>
              <w:t>序号</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38ABB50F">
            <w:pPr>
              <w:snapToGrid w:val="0"/>
              <w:spacing w:before="156" w:beforeLines="50"/>
              <w:jc w:val="center"/>
              <w:rPr>
                <w:sz w:val="24"/>
                <w:szCs w:val="24"/>
                <w:highlight w:val="none"/>
              </w:rPr>
            </w:pPr>
            <w:r>
              <w:rPr>
                <w:rFonts w:hint="eastAsia"/>
                <w:sz w:val="24"/>
                <w:szCs w:val="24"/>
                <w:highlight w:val="none"/>
              </w:rPr>
              <w:t>招标要求</w:t>
            </w:r>
          </w:p>
        </w:tc>
        <w:tc>
          <w:tcPr>
            <w:tcW w:w="2976" w:type="dxa"/>
            <w:tcBorders>
              <w:top w:val="single" w:color="auto" w:sz="4" w:space="0"/>
              <w:left w:val="single" w:color="auto" w:sz="4" w:space="0"/>
              <w:bottom w:val="single" w:color="auto" w:sz="4" w:space="0"/>
              <w:right w:val="single" w:color="auto" w:sz="4" w:space="0"/>
            </w:tcBorders>
            <w:noWrap w:val="0"/>
            <w:vAlign w:val="center"/>
          </w:tcPr>
          <w:p w14:paraId="251D32A5">
            <w:pPr>
              <w:snapToGrid w:val="0"/>
              <w:spacing w:before="156" w:beforeLines="50"/>
              <w:jc w:val="center"/>
              <w:rPr>
                <w:sz w:val="24"/>
                <w:szCs w:val="24"/>
                <w:highlight w:val="none"/>
              </w:rPr>
            </w:pPr>
            <w:r>
              <w:rPr>
                <w:rFonts w:hint="eastAsia"/>
                <w:sz w:val="24"/>
                <w:szCs w:val="24"/>
                <w:highlight w:val="none"/>
              </w:rPr>
              <w:t>投标响应</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77F7CB54">
            <w:pPr>
              <w:snapToGrid w:val="0"/>
              <w:spacing w:before="156" w:beforeLines="50"/>
              <w:jc w:val="center"/>
              <w:rPr>
                <w:sz w:val="24"/>
                <w:szCs w:val="24"/>
                <w:highlight w:val="none"/>
              </w:rPr>
            </w:pPr>
            <w:r>
              <w:rPr>
                <w:rFonts w:hint="eastAsia"/>
                <w:sz w:val="24"/>
                <w:szCs w:val="24"/>
                <w:highlight w:val="none"/>
              </w:rPr>
              <w:t>符合/</w:t>
            </w:r>
          </w:p>
          <w:p w14:paraId="5E0C50CB">
            <w:pPr>
              <w:snapToGrid w:val="0"/>
              <w:spacing w:before="156" w:beforeLines="50"/>
              <w:jc w:val="center"/>
              <w:rPr>
                <w:sz w:val="24"/>
                <w:szCs w:val="24"/>
                <w:highlight w:val="none"/>
              </w:rPr>
            </w:pPr>
            <w:r>
              <w:rPr>
                <w:rFonts w:hint="eastAsia"/>
                <w:sz w:val="24"/>
                <w:szCs w:val="24"/>
                <w:highlight w:val="none"/>
              </w:rPr>
              <w:t>正偏离/</w:t>
            </w:r>
          </w:p>
          <w:p w14:paraId="3F1701BF">
            <w:pPr>
              <w:snapToGrid w:val="0"/>
              <w:spacing w:before="156" w:beforeLines="50"/>
              <w:jc w:val="center"/>
              <w:rPr>
                <w:sz w:val="24"/>
                <w:szCs w:val="24"/>
                <w:highlight w:val="none"/>
              </w:rPr>
            </w:pPr>
            <w:r>
              <w:rPr>
                <w:rFonts w:hint="eastAsia"/>
                <w:sz w:val="24"/>
                <w:szCs w:val="24"/>
                <w:highlight w:val="none"/>
              </w:rPr>
              <w:t>负偏离</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7E4B6BD">
            <w:pPr>
              <w:snapToGrid w:val="0"/>
              <w:spacing w:before="156" w:beforeLines="50"/>
              <w:jc w:val="center"/>
              <w:rPr>
                <w:sz w:val="24"/>
                <w:szCs w:val="24"/>
                <w:highlight w:val="none"/>
              </w:rPr>
            </w:pPr>
            <w:r>
              <w:rPr>
                <w:rFonts w:hint="eastAsia"/>
                <w:sz w:val="24"/>
                <w:szCs w:val="24"/>
                <w:highlight w:val="none"/>
              </w:rPr>
              <w:t>备注</w:t>
            </w:r>
          </w:p>
        </w:tc>
      </w:tr>
      <w:tr w14:paraId="05C332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383644A8">
            <w:pPr>
              <w:snapToGrid w:val="0"/>
              <w:spacing w:before="156" w:beforeLines="50"/>
              <w:jc w:val="center"/>
              <w:rPr>
                <w:sz w:val="24"/>
                <w:szCs w:val="24"/>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3B45D644">
            <w:pPr>
              <w:snapToGrid w:val="0"/>
              <w:spacing w:before="145"/>
              <w:jc w:val="center"/>
              <w:rPr>
                <w:rStyle w:val="87"/>
                <w:rFonts w:ascii="仿宋_GB2312" w:hAnsi="宋体" w:eastAsia="仿宋_GB2312"/>
                <w:sz w:val="24"/>
                <w:highlight w:val="none"/>
              </w:rPr>
            </w:pPr>
          </w:p>
        </w:tc>
        <w:tc>
          <w:tcPr>
            <w:tcW w:w="2976" w:type="dxa"/>
            <w:tcBorders>
              <w:top w:val="single" w:color="auto" w:sz="4" w:space="0"/>
              <w:left w:val="single" w:color="auto" w:sz="4" w:space="0"/>
              <w:bottom w:val="single" w:color="auto" w:sz="4" w:space="0"/>
              <w:right w:val="single" w:color="auto" w:sz="4" w:space="0"/>
            </w:tcBorders>
            <w:noWrap w:val="0"/>
            <w:vAlign w:val="center"/>
          </w:tcPr>
          <w:p w14:paraId="29C28E20">
            <w:pPr>
              <w:snapToGrid w:val="0"/>
              <w:spacing w:before="156" w:beforeLines="50"/>
              <w:rPr>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709398C1">
            <w:pPr>
              <w:snapToGrid w:val="0"/>
              <w:spacing w:before="156" w:beforeLines="50"/>
              <w:rPr>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DC7A825">
            <w:pPr>
              <w:snapToGrid w:val="0"/>
              <w:spacing w:before="156" w:beforeLines="50"/>
              <w:rPr>
                <w:sz w:val="24"/>
                <w:szCs w:val="24"/>
                <w:highlight w:val="none"/>
              </w:rPr>
            </w:pPr>
          </w:p>
        </w:tc>
      </w:tr>
      <w:tr w14:paraId="7D8CA2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19A67521">
            <w:pPr>
              <w:snapToGrid w:val="0"/>
              <w:spacing w:before="156" w:beforeLines="50"/>
              <w:jc w:val="center"/>
              <w:rPr>
                <w:sz w:val="24"/>
                <w:szCs w:val="24"/>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659F4D5D">
            <w:pPr>
              <w:snapToGrid w:val="0"/>
              <w:spacing w:before="145"/>
              <w:jc w:val="center"/>
              <w:rPr>
                <w:rStyle w:val="87"/>
                <w:rFonts w:ascii="仿宋_GB2312"/>
                <w:sz w:val="24"/>
                <w:highlight w:val="none"/>
              </w:rPr>
            </w:pPr>
          </w:p>
        </w:tc>
        <w:tc>
          <w:tcPr>
            <w:tcW w:w="2976" w:type="dxa"/>
            <w:tcBorders>
              <w:top w:val="single" w:color="auto" w:sz="4" w:space="0"/>
              <w:left w:val="single" w:color="auto" w:sz="4" w:space="0"/>
              <w:bottom w:val="single" w:color="auto" w:sz="4" w:space="0"/>
              <w:right w:val="single" w:color="auto" w:sz="4" w:space="0"/>
            </w:tcBorders>
            <w:noWrap w:val="0"/>
            <w:vAlign w:val="center"/>
          </w:tcPr>
          <w:p w14:paraId="37A656CC">
            <w:pPr>
              <w:snapToGrid w:val="0"/>
              <w:spacing w:before="156" w:beforeLines="50"/>
              <w:rPr>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7EACCE70">
            <w:pPr>
              <w:snapToGrid w:val="0"/>
              <w:spacing w:before="156" w:beforeLines="50"/>
              <w:rPr>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DEE714F">
            <w:pPr>
              <w:snapToGrid w:val="0"/>
              <w:spacing w:before="156" w:beforeLines="50"/>
              <w:rPr>
                <w:sz w:val="24"/>
                <w:szCs w:val="24"/>
                <w:highlight w:val="none"/>
              </w:rPr>
            </w:pPr>
          </w:p>
        </w:tc>
      </w:tr>
      <w:tr w14:paraId="57E1BE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4F06E859">
            <w:pPr>
              <w:snapToGrid w:val="0"/>
              <w:spacing w:before="156" w:beforeLines="50"/>
              <w:jc w:val="center"/>
              <w:rPr>
                <w:sz w:val="24"/>
                <w:szCs w:val="24"/>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131327D7">
            <w:pPr>
              <w:snapToGrid w:val="0"/>
              <w:spacing w:before="145"/>
              <w:jc w:val="center"/>
              <w:rPr>
                <w:rStyle w:val="87"/>
                <w:rFonts w:ascii="仿宋_GB2312"/>
                <w:sz w:val="24"/>
                <w:highlight w:val="none"/>
              </w:rPr>
            </w:pPr>
          </w:p>
        </w:tc>
        <w:tc>
          <w:tcPr>
            <w:tcW w:w="2976" w:type="dxa"/>
            <w:tcBorders>
              <w:top w:val="single" w:color="auto" w:sz="4" w:space="0"/>
              <w:left w:val="single" w:color="auto" w:sz="4" w:space="0"/>
              <w:bottom w:val="single" w:color="auto" w:sz="4" w:space="0"/>
              <w:right w:val="single" w:color="auto" w:sz="4" w:space="0"/>
            </w:tcBorders>
            <w:noWrap w:val="0"/>
            <w:vAlign w:val="center"/>
          </w:tcPr>
          <w:p w14:paraId="6C9F1123">
            <w:pPr>
              <w:snapToGrid w:val="0"/>
              <w:spacing w:before="156" w:beforeLines="50"/>
              <w:rPr>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6E780EC0">
            <w:pPr>
              <w:snapToGrid w:val="0"/>
              <w:spacing w:before="156" w:beforeLines="50"/>
              <w:rPr>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0379F0B">
            <w:pPr>
              <w:snapToGrid w:val="0"/>
              <w:spacing w:before="156" w:beforeLines="50"/>
              <w:rPr>
                <w:sz w:val="24"/>
                <w:szCs w:val="24"/>
                <w:highlight w:val="none"/>
              </w:rPr>
            </w:pPr>
          </w:p>
        </w:tc>
      </w:tr>
      <w:tr w14:paraId="26C249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3306D49F">
            <w:pPr>
              <w:snapToGrid w:val="0"/>
              <w:spacing w:before="156" w:beforeLines="50"/>
              <w:jc w:val="center"/>
              <w:rPr>
                <w:sz w:val="24"/>
                <w:szCs w:val="24"/>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6C571CBA">
            <w:pPr>
              <w:snapToGrid w:val="0"/>
              <w:spacing w:before="145"/>
              <w:jc w:val="center"/>
              <w:rPr>
                <w:rStyle w:val="87"/>
                <w:rFonts w:ascii="仿宋_GB2312" w:hAnsi="宋体" w:eastAsia="仿宋_GB2312"/>
                <w:sz w:val="24"/>
                <w:highlight w:val="none"/>
              </w:rPr>
            </w:pPr>
          </w:p>
        </w:tc>
        <w:tc>
          <w:tcPr>
            <w:tcW w:w="2976" w:type="dxa"/>
            <w:tcBorders>
              <w:top w:val="single" w:color="auto" w:sz="4" w:space="0"/>
              <w:left w:val="single" w:color="auto" w:sz="4" w:space="0"/>
              <w:bottom w:val="single" w:color="auto" w:sz="4" w:space="0"/>
              <w:right w:val="single" w:color="auto" w:sz="4" w:space="0"/>
            </w:tcBorders>
            <w:noWrap w:val="0"/>
            <w:vAlign w:val="center"/>
          </w:tcPr>
          <w:p w14:paraId="235E0CEB">
            <w:pPr>
              <w:snapToGrid w:val="0"/>
              <w:spacing w:before="156" w:beforeLines="50"/>
              <w:rPr>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3F6043DC">
            <w:pPr>
              <w:snapToGrid w:val="0"/>
              <w:spacing w:before="156" w:beforeLines="50"/>
              <w:rPr>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15B29C9">
            <w:pPr>
              <w:snapToGrid w:val="0"/>
              <w:spacing w:before="156" w:beforeLines="50"/>
              <w:rPr>
                <w:sz w:val="24"/>
                <w:szCs w:val="24"/>
                <w:highlight w:val="none"/>
              </w:rPr>
            </w:pPr>
          </w:p>
        </w:tc>
      </w:tr>
      <w:tr w14:paraId="506139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2E5D5EBC">
            <w:pPr>
              <w:snapToGrid w:val="0"/>
              <w:spacing w:before="156" w:beforeLines="50"/>
              <w:jc w:val="center"/>
              <w:rPr>
                <w:sz w:val="24"/>
                <w:szCs w:val="24"/>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6C2D4775">
            <w:pPr>
              <w:snapToGrid w:val="0"/>
              <w:spacing w:before="145"/>
              <w:jc w:val="center"/>
              <w:rPr>
                <w:rStyle w:val="87"/>
                <w:rFonts w:ascii="宋体" w:hAnsi="宋体"/>
                <w:sz w:val="24"/>
                <w:highlight w:val="none"/>
              </w:rPr>
            </w:pPr>
          </w:p>
        </w:tc>
        <w:tc>
          <w:tcPr>
            <w:tcW w:w="2976" w:type="dxa"/>
            <w:tcBorders>
              <w:top w:val="single" w:color="auto" w:sz="4" w:space="0"/>
              <w:left w:val="single" w:color="auto" w:sz="4" w:space="0"/>
              <w:bottom w:val="single" w:color="auto" w:sz="4" w:space="0"/>
              <w:right w:val="single" w:color="auto" w:sz="4" w:space="0"/>
            </w:tcBorders>
            <w:noWrap w:val="0"/>
            <w:vAlign w:val="center"/>
          </w:tcPr>
          <w:p w14:paraId="3B05E511">
            <w:pPr>
              <w:snapToGrid w:val="0"/>
              <w:spacing w:before="156" w:beforeLines="50"/>
              <w:rPr>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6E69539A">
            <w:pPr>
              <w:snapToGrid w:val="0"/>
              <w:spacing w:before="156" w:beforeLines="50"/>
              <w:rPr>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DD37D04">
            <w:pPr>
              <w:snapToGrid w:val="0"/>
              <w:spacing w:before="156" w:beforeLines="50"/>
              <w:rPr>
                <w:sz w:val="24"/>
                <w:szCs w:val="24"/>
                <w:highlight w:val="none"/>
              </w:rPr>
            </w:pPr>
          </w:p>
        </w:tc>
      </w:tr>
      <w:tr w14:paraId="7AAD86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6872A8DE">
            <w:pPr>
              <w:snapToGrid w:val="0"/>
              <w:spacing w:before="156" w:beforeLines="50"/>
              <w:jc w:val="center"/>
              <w:rPr>
                <w:sz w:val="24"/>
                <w:szCs w:val="24"/>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663AA0A6">
            <w:pPr>
              <w:snapToGrid w:val="0"/>
              <w:spacing w:before="145"/>
              <w:jc w:val="center"/>
              <w:rPr>
                <w:rStyle w:val="87"/>
                <w:rFonts w:ascii="仿宋_GB2312"/>
                <w:sz w:val="24"/>
                <w:highlight w:val="none"/>
              </w:rPr>
            </w:pPr>
          </w:p>
        </w:tc>
        <w:tc>
          <w:tcPr>
            <w:tcW w:w="2976" w:type="dxa"/>
            <w:tcBorders>
              <w:top w:val="single" w:color="auto" w:sz="4" w:space="0"/>
              <w:left w:val="single" w:color="auto" w:sz="4" w:space="0"/>
              <w:bottom w:val="single" w:color="auto" w:sz="4" w:space="0"/>
              <w:right w:val="single" w:color="auto" w:sz="4" w:space="0"/>
            </w:tcBorders>
            <w:noWrap w:val="0"/>
            <w:vAlign w:val="center"/>
          </w:tcPr>
          <w:p w14:paraId="42CFF673">
            <w:pPr>
              <w:snapToGrid w:val="0"/>
              <w:spacing w:before="156" w:beforeLines="50"/>
              <w:rPr>
                <w:sz w:val="24"/>
                <w:szCs w:val="24"/>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159F2E2B">
            <w:pPr>
              <w:snapToGrid w:val="0"/>
              <w:spacing w:before="156" w:beforeLines="50"/>
              <w:rPr>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850F152">
            <w:pPr>
              <w:snapToGrid w:val="0"/>
              <w:spacing w:before="156" w:beforeLines="50"/>
              <w:rPr>
                <w:sz w:val="24"/>
                <w:szCs w:val="24"/>
                <w:highlight w:val="none"/>
              </w:rPr>
            </w:pPr>
          </w:p>
        </w:tc>
      </w:tr>
      <w:tr w14:paraId="6965AB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69E6553A">
            <w:pPr>
              <w:snapToGrid w:val="0"/>
              <w:spacing w:before="156" w:beforeLines="50"/>
              <w:jc w:val="center"/>
              <w:rPr>
                <w:sz w:val="24"/>
                <w:szCs w:val="24"/>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507A2E61">
            <w:pPr>
              <w:snapToGrid w:val="0"/>
              <w:spacing w:before="145"/>
              <w:jc w:val="center"/>
              <w:rPr>
                <w:rStyle w:val="87"/>
                <w:rFonts w:ascii="仿宋_GB2312" w:hAnsi="宋体" w:eastAsia="仿宋_GB2312"/>
                <w:sz w:val="24"/>
                <w:highlight w:val="none"/>
              </w:rPr>
            </w:pPr>
          </w:p>
        </w:tc>
        <w:tc>
          <w:tcPr>
            <w:tcW w:w="2976" w:type="dxa"/>
            <w:tcBorders>
              <w:top w:val="single" w:color="auto" w:sz="4" w:space="0"/>
              <w:left w:val="single" w:color="auto" w:sz="4" w:space="0"/>
              <w:bottom w:val="single" w:color="auto" w:sz="4" w:space="0"/>
              <w:right w:val="single" w:color="auto" w:sz="4" w:space="0"/>
            </w:tcBorders>
            <w:noWrap w:val="0"/>
            <w:vAlign w:val="center"/>
          </w:tcPr>
          <w:p w14:paraId="195C714D">
            <w:pPr>
              <w:snapToGrid w:val="0"/>
              <w:spacing w:before="156" w:beforeLines="50"/>
              <w:rPr>
                <w:sz w:val="24"/>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1918847E">
            <w:pPr>
              <w:snapToGrid w:val="0"/>
              <w:spacing w:before="156" w:beforeLines="50"/>
              <w:rPr>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65732D9">
            <w:pPr>
              <w:snapToGrid w:val="0"/>
              <w:spacing w:before="156" w:beforeLines="50"/>
              <w:rPr>
                <w:sz w:val="24"/>
                <w:highlight w:val="none"/>
              </w:rPr>
            </w:pPr>
          </w:p>
        </w:tc>
      </w:tr>
    </w:tbl>
    <w:p w14:paraId="5FBCD96B">
      <w:pPr>
        <w:snapToGrid w:val="0"/>
        <w:spacing w:before="156" w:beforeLines="50"/>
        <w:rPr>
          <w:sz w:val="24"/>
          <w:szCs w:val="24"/>
          <w:highlight w:val="none"/>
        </w:rPr>
      </w:pPr>
      <w:r>
        <w:rPr>
          <w:sz w:val="24"/>
          <w:highlight w:val="none"/>
        </w:rPr>
        <w:t>供应商名称（公章）：</w:t>
      </w:r>
      <w:r>
        <w:rPr>
          <w:sz w:val="24"/>
          <w:szCs w:val="24"/>
          <w:highlight w:val="none"/>
          <w:u w:val="single"/>
        </w:rPr>
        <w:t xml:space="preserve">                     </w:t>
      </w:r>
      <w:r>
        <w:rPr>
          <w:sz w:val="24"/>
          <w:szCs w:val="24"/>
          <w:highlight w:val="none"/>
        </w:rPr>
        <w:t xml:space="preserve">    </w:t>
      </w:r>
    </w:p>
    <w:p w14:paraId="34D8A84B">
      <w:pPr>
        <w:pStyle w:val="4"/>
        <w:spacing w:line="500" w:lineRule="exact"/>
        <w:ind w:left="15" w:leftChars="-50" w:hanging="120" w:hangingChars="50"/>
        <w:rPr>
          <w:sz w:val="24"/>
          <w:szCs w:val="24"/>
          <w:highlight w:val="none"/>
        </w:rPr>
      </w:pPr>
    </w:p>
    <w:p w14:paraId="6914BA28">
      <w:pPr>
        <w:pStyle w:val="4"/>
        <w:spacing w:line="500" w:lineRule="exact"/>
        <w:ind w:left="15" w:leftChars="-50" w:hanging="120" w:hangingChars="50"/>
        <w:rPr>
          <w:sz w:val="24"/>
          <w:szCs w:val="24"/>
          <w:highlight w:val="none"/>
        </w:rPr>
      </w:pPr>
      <w:r>
        <w:rPr>
          <w:sz w:val="24"/>
          <w:szCs w:val="24"/>
          <w:highlight w:val="none"/>
        </w:rPr>
        <w:t>法定代表人（授权代表）签字：</w:t>
      </w:r>
      <w:r>
        <w:rPr>
          <w:sz w:val="24"/>
          <w:szCs w:val="24"/>
          <w:highlight w:val="none"/>
          <w:u w:val="single"/>
        </w:rPr>
        <w:t xml:space="preserve">              </w:t>
      </w:r>
    </w:p>
    <w:p w14:paraId="271085DB">
      <w:pPr>
        <w:spacing w:line="500" w:lineRule="exact"/>
        <w:ind w:hanging="315"/>
        <w:jc w:val="right"/>
        <w:rPr>
          <w:sz w:val="24"/>
          <w:highlight w:val="none"/>
        </w:rPr>
      </w:pPr>
      <w:r>
        <w:rPr>
          <w:sz w:val="24"/>
          <w:szCs w:val="24"/>
          <w:highlight w:val="none"/>
        </w:rPr>
        <w:t xml:space="preserve">                                </w:t>
      </w:r>
      <w:r>
        <w:rPr>
          <w:sz w:val="24"/>
          <w:highlight w:val="none"/>
        </w:rPr>
        <w:t xml:space="preserve">                                                                                        日期：</w:t>
      </w:r>
      <w:r>
        <w:rPr>
          <w:sz w:val="24"/>
          <w:highlight w:val="none"/>
          <w:u w:val="single"/>
        </w:rPr>
        <w:t xml:space="preserve">     </w:t>
      </w:r>
      <w:r>
        <w:rPr>
          <w:sz w:val="24"/>
          <w:highlight w:val="none"/>
        </w:rPr>
        <w:t xml:space="preserve"> 年</w:t>
      </w:r>
      <w:r>
        <w:rPr>
          <w:sz w:val="24"/>
          <w:highlight w:val="none"/>
          <w:u w:val="single"/>
        </w:rPr>
        <w:t xml:space="preserve">     </w:t>
      </w:r>
      <w:r>
        <w:rPr>
          <w:sz w:val="24"/>
          <w:highlight w:val="none"/>
        </w:rPr>
        <w:t>月</w:t>
      </w:r>
      <w:r>
        <w:rPr>
          <w:sz w:val="24"/>
          <w:highlight w:val="none"/>
          <w:u w:val="single"/>
        </w:rPr>
        <w:t xml:space="preserve">     </w:t>
      </w:r>
      <w:r>
        <w:rPr>
          <w:sz w:val="24"/>
          <w:highlight w:val="none"/>
        </w:rPr>
        <w:t>日</w:t>
      </w:r>
    </w:p>
    <w:p w14:paraId="2542D4DF">
      <w:pPr>
        <w:rPr>
          <w:rFonts w:eastAsia="仿宋_GB2312"/>
          <w:sz w:val="24"/>
          <w:highlight w:val="none"/>
        </w:rPr>
      </w:pPr>
    </w:p>
    <w:p w14:paraId="2441AD53">
      <w:pPr>
        <w:rPr>
          <w:sz w:val="24"/>
          <w:highlight w:val="none"/>
        </w:rPr>
      </w:pPr>
      <w:r>
        <w:rPr>
          <w:sz w:val="24"/>
          <w:highlight w:val="none"/>
        </w:rPr>
        <w:t>填写说明：</w:t>
      </w:r>
    </w:p>
    <w:p w14:paraId="1CE4414C">
      <w:pPr>
        <w:spacing w:line="400" w:lineRule="exact"/>
        <w:ind w:firstLine="480" w:firstLineChars="200"/>
        <w:rPr>
          <w:rFonts w:ascii="宋体" w:hAnsi="宋体"/>
          <w:sz w:val="24"/>
          <w:szCs w:val="24"/>
          <w:highlight w:val="none"/>
        </w:rPr>
      </w:pPr>
      <w:r>
        <w:rPr>
          <w:rFonts w:hint="eastAsia" w:ascii="宋体" w:hAnsi="宋体"/>
          <w:sz w:val="24"/>
          <w:szCs w:val="24"/>
          <w:highlight w:val="none"/>
        </w:rPr>
        <w:t>1、供应商须根据第四章《项目需求》要求填写此表，作为投标文件的组成部分。</w:t>
      </w:r>
    </w:p>
    <w:p w14:paraId="47EB2248">
      <w:pPr>
        <w:spacing w:line="400" w:lineRule="exact"/>
        <w:ind w:firstLine="480" w:firstLineChars="200"/>
        <w:rPr>
          <w:rFonts w:ascii="宋体" w:hAnsi="宋体"/>
          <w:sz w:val="24"/>
          <w:szCs w:val="24"/>
          <w:highlight w:val="none"/>
        </w:rPr>
      </w:pPr>
      <w:r>
        <w:rPr>
          <w:rFonts w:hint="eastAsia" w:ascii="宋体" w:hAnsi="宋体"/>
          <w:sz w:val="24"/>
          <w:szCs w:val="24"/>
          <w:highlight w:val="none"/>
        </w:rPr>
        <w:t>2、所有偏离必须在本表中列出，未在本偏离表中列出偏离，将视为供应商已完全接受招标文件要求。</w:t>
      </w:r>
    </w:p>
    <w:p w14:paraId="1D767EA6">
      <w:pPr>
        <w:spacing w:line="400" w:lineRule="exact"/>
        <w:ind w:firstLine="480" w:firstLineChars="200"/>
        <w:rPr>
          <w:rFonts w:ascii="宋体" w:hAnsi="宋体"/>
          <w:sz w:val="24"/>
          <w:szCs w:val="24"/>
          <w:highlight w:val="none"/>
        </w:rPr>
      </w:pPr>
      <w:r>
        <w:rPr>
          <w:rFonts w:hint="eastAsia" w:ascii="宋体" w:hAnsi="宋体"/>
          <w:sz w:val="24"/>
          <w:szCs w:val="24"/>
          <w:highlight w:val="none"/>
        </w:rPr>
        <w:t>3、偏离包括正、负偏离，正偏离指供应商的响应高于招标文件要求，负偏离指供应商的响应低于招标文件要求。</w:t>
      </w:r>
    </w:p>
    <w:p w14:paraId="21802808">
      <w:pPr>
        <w:pStyle w:val="5"/>
        <w:spacing w:before="0" w:after="0" w:line="538" w:lineRule="exact"/>
        <w:ind w:firstLine="482" w:firstLineChars="150"/>
        <w:jc w:val="center"/>
        <w:rPr>
          <w:highlight w:val="none"/>
        </w:rPr>
      </w:pPr>
      <w:r>
        <w:rPr>
          <w:highlight w:val="none"/>
        </w:rPr>
        <w:br w:type="page"/>
      </w:r>
      <w:r>
        <w:rPr>
          <w:rFonts w:hint="eastAsia"/>
          <w:highlight w:val="none"/>
        </w:rPr>
        <w:t>1</w:t>
      </w:r>
      <w:r>
        <w:rPr>
          <w:rFonts w:hint="eastAsia"/>
          <w:highlight w:val="none"/>
          <w:lang w:val="en-US" w:eastAsia="zh-CN"/>
        </w:rPr>
        <w:t>3</w:t>
      </w:r>
      <w:r>
        <w:rPr>
          <w:rFonts w:hint="eastAsia"/>
          <w:highlight w:val="none"/>
        </w:rPr>
        <w:t>．</w:t>
      </w:r>
      <w:r>
        <w:rPr>
          <w:highlight w:val="none"/>
        </w:rPr>
        <w:t>商务</w:t>
      </w:r>
      <w:r>
        <w:rPr>
          <w:rFonts w:hint="eastAsia"/>
          <w:highlight w:val="none"/>
        </w:rPr>
        <w:t>要求</w:t>
      </w:r>
      <w:r>
        <w:rPr>
          <w:highlight w:val="none"/>
        </w:rPr>
        <w:t>响应偏离表</w:t>
      </w:r>
    </w:p>
    <w:tbl>
      <w:tblPr>
        <w:tblStyle w:val="37"/>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7"/>
        <w:gridCol w:w="1985"/>
        <w:gridCol w:w="2526"/>
        <w:gridCol w:w="1260"/>
        <w:gridCol w:w="1884"/>
      </w:tblGrid>
      <w:tr w14:paraId="01EDAF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0D3D8EC7">
            <w:pPr>
              <w:snapToGrid w:val="0"/>
              <w:spacing w:before="156" w:beforeLines="50"/>
              <w:jc w:val="center"/>
              <w:rPr>
                <w:sz w:val="24"/>
                <w:szCs w:val="24"/>
                <w:highlight w:val="none"/>
              </w:rPr>
            </w:pPr>
            <w:r>
              <w:rPr>
                <w:sz w:val="24"/>
                <w:szCs w:val="24"/>
                <w:highlight w:val="none"/>
              </w:rPr>
              <w:t>序号</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0DC1FDE3">
            <w:pPr>
              <w:snapToGrid w:val="0"/>
              <w:spacing w:before="156" w:beforeLines="50"/>
              <w:jc w:val="center"/>
              <w:rPr>
                <w:sz w:val="24"/>
                <w:szCs w:val="24"/>
                <w:highlight w:val="none"/>
              </w:rPr>
            </w:pPr>
            <w:r>
              <w:rPr>
                <w:rFonts w:hint="eastAsia"/>
                <w:sz w:val="24"/>
                <w:szCs w:val="24"/>
                <w:highlight w:val="none"/>
              </w:rPr>
              <w:t>招标要求</w:t>
            </w:r>
          </w:p>
        </w:tc>
        <w:tc>
          <w:tcPr>
            <w:tcW w:w="2526" w:type="dxa"/>
            <w:tcBorders>
              <w:top w:val="single" w:color="auto" w:sz="4" w:space="0"/>
              <w:left w:val="single" w:color="auto" w:sz="4" w:space="0"/>
              <w:bottom w:val="single" w:color="auto" w:sz="4" w:space="0"/>
              <w:right w:val="single" w:color="auto" w:sz="4" w:space="0"/>
            </w:tcBorders>
            <w:noWrap w:val="0"/>
            <w:vAlign w:val="center"/>
          </w:tcPr>
          <w:p w14:paraId="1BF40C7D">
            <w:pPr>
              <w:snapToGrid w:val="0"/>
              <w:spacing w:before="156" w:beforeLines="50"/>
              <w:jc w:val="center"/>
              <w:rPr>
                <w:sz w:val="24"/>
                <w:szCs w:val="24"/>
                <w:highlight w:val="none"/>
              </w:rPr>
            </w:pPr>
            <w:r>
              <w:rPr>
                <w:rFonts w:hint="eastAsia"/>
                <w:sz w:val="24"/>
                <w:szCs w:val="24"/>
                <w:highlight w:val="none"/>
              </w:rPr>
              <w:t>投标响应</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12B896AA">
            <w:pPr>
              <w:snapToGrid w:val="0"/>
              <w:spacing w:before="156" w:beforeLines="50"/>
              <w:jc w:val="center"/>
              <w:rPr>
                <w:sz w:val="24"/>
                <w:szCs w:val="24"/>
                <w:highlight w:val="none"/>
              </w:rPr>
            </w:pPr>
            <w:r>
              <w:rPr>
                <w:rFonts w:hint="eastAsia"/>
                <w:sz w:val="24"/>
                <w:szCs w:val="24"/>
                <w:highlight w:val="none"/>
              </w:rPr>
              <w:t>符合/</w:t>
            </w:r>
          </w:p>
          <w:p w14:paraId="72FC86AF">
            <w:pPr>
              <w:snapToGrid w:val="0"/>
              <w:spacing w:before="156" w:beforeLines="50"/>
              <w:jc w:val="center"/>
              <w:rPr>
                <w:sz w:val="24"/>
                <w:szCs w:val="24"/>
                <w:highlight w:val="none"/>
              </w:rPr>
            </w:pPr>
            <w:r>
              <w:rPr>
                <w:rFonts w:hint="eastAsia"/>
                <w:sz w:val="24"/>
                <w:szCs w:val="24"/>
                <w:highlight w:val="none"/>
              </w:rPr>
              <w:t>正偏离/</w:t>
            </w:r>
          </w:p>
          <w:p w14:paraId="322D9388">
            <w:pPr>
              <w:snapToGrid w:val="0"/>
              <w:spacing w:before="156" w:beforeLines="50"/>
              <w:jc w:val="center"/>
              <w:rPr>
                <w:sz w:val="24"/>
                <w:szCs w:val="24"/>
                <w:highlight w:val="none"/>
              </w:rPr>
            </w:pPr>
            <w:r>
              <w:rPr>
                <w:rFonts w:hint="eastAsia"/>
                <w:sz w:val="24"/>
                <w:szCs w:val="24"/>
                <w:highlight w:val="none"/>
              </w:rPr>
              <w:t>负偏离</w:t>
            </w:r>
          </w:p>
        </w:tc>
        <w:tc>
          <w:tcPr>
            <w:tcW w:w="1884" w:type="dxa"/>
            <w:tcBorders>
              <w:top w:val="single" w:color="auto" w:sz="4" w:space="0"/>
              <w:left w:val="single" w:color="auto" w:sz="4" w:space="0"/>
              <w:bottom w:val="single" w:color="auto" w:sz="4" w:space="0"/>
              <w:right w:val="single" w:color="auto" w:sz="4" w:space="0"/>
            </w:tcBorders>
            <w:noWrap w:val="0"/>
            <w:vAlign w:val="center"/>
          </w:tcPr>
          <w:p w14:paraId="28D95906">
            <w:pPr>
              <w:snapToGrid w:val="0"/>
              <w:spacing w:before="156" w:beforeLines="50"/>
              <w:jc w:val="center"/>
              <w:rPr>
                <w:sz w:val="24"/>
                <w:szCs w:val="24"/>
                <w:highlight w:val="none"/>
              </w:rPr>
            </w:pPr>
            <w:r>
              <w:rPr>
                <w:rFonts w:hint="eastAsia"/>
                <w:sz w:val="24"/>
                <w:szCs w:val="24"/>
                <w:highlight w:val="none"/>
              </w:rPr>
              <w:t>备注</w:t>
            </w:r>
          </w:p>
        </w:tc>
      </w:tr>
      <w:tr w14:paraId="1A2302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6669F855">
            <w:pPr>
              <w:snapToGrid w:val="0"/>
              <w:spacing w:before="156" w:beforeLines="50"/>
              <w:jc w:val="center"/>
              <w:rPr>
                <w:sz w:val="24"/>
                <w:szCs w:val="24"/>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5DF16402">
            <w:pPr>
              <w:snapToGrid w:val="0"/>
              <w:spacing w:before="145"/>
              <w:jc w:val="center"/>
              <w:rPr>
                <w:rStyle w:val="87"/>
                <w:rFonts w:ascii="仿宋_GB2312" w:hAnsi="宋体" w:eastAsia="仿宋_GB2312"/>
                <w:sz w:val="24"/>
                <w:highlight w:val="none"/>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30B9D1F6">
            <w:pPr>
              <w:snapToGrid w:val="0"/>
              <w:spacing w:before="156" w:beforeLines="50"/>
              <w:rPr>
                <w:sz w:val="24"/>
                <w:szCs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18A71A9C">
            <w:pPr>
              <w:snapToGrid w:val="0"/>
              <w:spacing w:before="156" w:beforeLines="50"/>
              <w:rPr>
                <w:sz w:val="24"/>
                <w:szCs w:val="24"/>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5B09DF3B">
            <w:pPr>
              <w:snapToGrid w:val="0"/>
              <w:spacing w:before="156" w:beforeLines="50"/>
              <w:rPr>
                <w:sz w:val="24"/>
                <w:szCs w:val="24"/>
                <w:highlight w:val="none"/>
              </w:rPr>
            </w:pPr>
          </w:p>
        </w:tc>
      </w:tr>
      <w:tr w14:paraId="22C7E9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31AC6C4D">
            <w:pPr>
              <w:snapToGrid w:val="0"/>
              <w:spacing w:before="156" w:beforeLines="50"/>
              <w:jc w:val="center"/>
              <w:rPr>
                <w:sz w:val="24"/>
                <w:szCs w:val="24"/>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290637D0">
            <w:pPr>
              <w:snapToGrid w:val="0"/>
              <w:spacing w:before="145"/>
              <w:jc w:val="center"/>
              <w:rPr>
                <w:rStyle w:val="87"/>
                <w:rFonts w:ascii="仿宋_GB2312"/>
                <w:sz w:val="24"/>
                <w:highlight w:val="none"/>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29B1B95B">
            <w:pPr>
              <w:snapToGrid w:val="0"/>
              <w:spacing w:before="156" w:beforeLines="50"/>
              <w:rPr>
                <w:sz w:val="24"/>
                <w:szCs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E1BAA01">
            <w:pPr>
              <w:snapToGrid w:val="0"/>
              <w:spacing w:before="156" w:beforeLines="50"/>
              <w:rPr>
                <w:sz w:val="24"/>
                <w:szCs w:val="24"/>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2FEBC160">
            <w:pPr>
              <w:snapToGrid w:val="0"/>
              <w:spacing w:before="156" w:beforeLines="50"/>
              <w:rPr>
                <w:sz w:val="24"/>
                <w:szCs w:val="24"/>
                <w:highlight w:val="none"/>
              </w:rPr>
            </w:pPr>
          </w:p>
        </w:tc>
      </w:tr>
      <w:tr w14:paraId="1CA189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14FD6C2F">
            <w:pPr>
              <w:snapToGrid w:val="0"/>
              <w:spacing w:before="156" w:beforeLines="50"/>
              <w:jc w:val="center"/>
              <w:rPr>
                <w:sz w:val="24"/>
                <w:szCs w:val="24"/>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25D8EBB6">
            <w:pPr>
              <w:snapToGrid w:val="0"/>
              <w:spacing w:before="145"/>
              <w:jc w:val="center"/>
              <w:rPr>
                <w:rStyle w:val="87"/>
                <w:rFonts w:ascii="仿宋_GB2312"/>
                <w:sz w:val="24"/>
                <w:highlight w:val="none"/>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10D3A59E">
            <w:pPr>
              <w:snapToGrid w:val="0"/>
              <w:spacing w:before="156" w:beforeLines="50"/>
              <w:rPr>
                <w:sz w:val="24"/>
                <w:szCs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C73F4E7">
            <w:pPr>
              <w:snapToGrid w:val="0"/>
              <w:spacing w:before="156" w:beforeLines="50"/>
              <w:rPr>
                <w:sz w:val="24"/>
                <w:szCs w:val="24"/>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11E2DAFE">
            <w:pPr>
              <w:snapToGrid w:val="0"/>
              <w:spacing w:before="156" w:beforeLines="50"/>
              <w:rPr>
                <w:sz w:val="24"/>
                <w:szCs w:val="24"/>
                <w:highlight w:val="none"/>
              </w:rPr>
            </w:pPr>
          </w:p>
        </w:tc>
      </w:tr>
      <w:tr w14:paraId="054FC9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2CDEB912">
            <w:pPr>
              <w:snapToGrid w:val="0"/>
              <w:spacing w:before="156" w:beforeLines="50"/>
              <w:jc w:val="center"/>
              <w:rPr>
                <w:sz w:val="24"/>
                <w:szCs w:val="24"/>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16944AD6">
            <w:pPr>
              <w:snapToGrid w:val="0"/>
              <w:spacing w:before="145"/>
              <w:jc w:val="center"/>
              <w:rPr>
                <w:rStyle w:val="87"/>
                <w:rFonts w:ascii="仿宋_GB2312" w:hAnsi="宋体" w:eastAsia="仿宋_GB2312"/>
                <w:sz w:val="24"/>
                <w:highlight w:val="none"/>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3854079E">
            <w:pPr>
              <w:snapToGrid w:val="0"/>
              <w:spacing w:before="156" w:beforeLines="50"/>
              <w:rPr>
                <w:sz w:val="24"/>
                <w:szCs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749744F">
            <w:pPr>
              <w:snapToGrid w:val="0"/>
              <w:spacing w:before="156" w:beforeLines="50"/>
              <w:rPr>
                <w:sz w:val="24"/>
                <w:szCs w:val="24"/>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65525C5F">
            <w:pPr>
              <w:snapToGrid w:val="0"/>
              <w:spacing w:before="156" w:beforeLines="50"/>
              <w:rPr>
                <w:sz w:val="24"/>
                <w:szCs w:val="24"/>
                <w:highlight w:val="none"/>
              </w:rPr>
            </w:pPr>
          </w:p>
        </w:tc>
      </w:tr>
      <w:tr w14:paraId="6DD4FE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40B67936">
            <w:pPr>
              <w:snapToGrid w:val="0"/>
              <w:spacing w:before="156" w:beforeLines="50"/>
              <w:jc w:val="center"/>
              <w:rPr>
                <w:sz w:val="24"/>
                <w:szCs w:val="24"/>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2CB72698">
            <w:pPr>
              <w:snapToGrid w:val="0"/>
              <w:spacing w:before="145"/>
              <w:jc w:val="center"/>
              <w:rPr>
                <w:rStyle w:val="87"/>
                <w:rFonts w:ascii="宋体" w:hAnsi="宋体"/>
                <w:sz w:val="24"/>
                <w:highlight w:val="none"/>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23CD0A5F">
            <w:pPr>
              <w:snapToGrid w:val="0"/>
              <w:spacing w:before="156" w:beforeLines="50"/>
              <w:rPr>
                <w:sz w:val="24"/>
                <w:szCs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BB06E5B">
            <w:pPr>
              <w:snapToGrid w:val="0"/>
              <w:spacing w:before="156" w:beforeLines="50"/>
              <w:rPr>
                <w:sz w:val="24"/>
                <w:szCs w:val="24"/>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3132560B">
            <w:pPr>
              <w:snapToGrid w:val="0"/>
              <w:spacing w:before="156" w:beforeLines="50"/>
              <w:rPr>
                <w:sz w:val="24"/>
                <w:szCs w:val="24"/>
                <w:highlight w:val="none"/>
              </w:rPr>
            </w:pPr>
          </w:p>
        </w:tc>
      </w:tr>
      <w:tr w14:paraId="02D238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0F6C80AC">
            <w:pPr>
              <w:snapToGrid w:val="0"/>
              <w:spacing w:before="156" w:beforeLines="50"/>
              <w:jc w:val="center"/>
              <w:rPr>
                <w:sz w:val="24"/>
                <w:szCs w:val="24"/>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52311030">
            <w:pPr>
              <w:snapToGrid w:val="0"/>
              <w:spacing w:before="145"/>
              <w:jc w:val="center"/>
              <w:rPr>
                <w:rStyle w:val="87"/>
                <w:rFonts w:ascii="仿宋_GB2312"/>
                <w:sz w:val="24"/>
                <w:highlight w:val="none"/>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4486426E">
            <w:pPr>
              <w:snapToGrid w:val="0"/>
              <w:spacing w:before="156" w:beforeLines="50"/>
              <w:rPr>
                <w:sz w:val="24"/>
                <w:szCs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13CDB8CC">
            <w:pPr>
              <w:snapToGrid w:val="0"/>
              <w:spacing w:before="156" w:beforeLines="50"/>
              <w:rPr>
                <w:sz w:val="24"/>
                <w:szCs w:val="24"/>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09029715">
            <w:pPr>
              <w:snapToGrid w:val="0"/>
              <w:spacing w:before="156" w:beforeLines="50"/>
              <w:rPr>
                <w:sz w:val="24"/>
                <w:szCs w:val="24"/>
                <w:highlight w:val="none"/>
              </w:rPr>
            </w:pPr>
          </w:p>
        </w:tc>
      </w:tr>
      <w:tr w14:paraId="73D25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0C2E8AD1">
            <w:pPr>
              <w:snapToGrid w:val="0"/>
              <w:spacing w:before="156" w:beforeLines="50"/>
              <w:jc w:val="center"/>
              <w:rPr>
                <w:sz w:val="24"/>
                <w:szCs w:val="24"/>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25E5BF71">
            <w:pPr>
              <w:snapToGrid w:val="0"/>
              <w:spacing w:before="145"/>
              <w:jc w:val="center"/>
              <w:rPr>
                <w:rStyle w:val="87"/>
                <w:rFonts w:ascii="仿宋_GB2312" w:hAnsi="宋体" w:eastAsia="仿宋_GB2312"/>
                <w:sz w:val="24"/>
                <w:highlight w:val="none"/>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77DDEE74">
            <w:pPr>
              <w:snapToGrid w:val="0"/>
              <w:spacing w:before="156" w:beforeLines="50"/>
              <w:rPr>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232FFE3">
            <w:pPr>
              <w:snapToGrid w:val="0"/>
              <w:spacing w:before="156" w:beforeLines="50"/>
              <w:rPr>
                <w:sz w:val="24"/>
                <w:highlight w:val="none"/>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0FD91DFE">
            <w:pPr>
              <w:snapToGrid w:val="0"/>
              <w:spacing w:before="156" w:beforeLines="50"/>
              <w:rPr>
                <w:sz w:val="24"/>
                <w:highlight w:val="none"/>
              </w:rPr>
            </w:pPr>
          </w:p>
        </w:tc>
      </w:tr>
    </w:tbl>
    <w:p w14:paraId="6DF24C8C">
      <w:pPr>
        <w:snapToGrid w:val="0"/>
        <w:spacing w:before="156" w:beforeLines="50"/>
        <w:rPr>
          <w:sz w:val="24"/>
          <w:szCs w:val="24"/>
          <w:highlight w:val="none"/>
        </w:rPr>
      </w:pPr>
      <w:r>
        <w:rPr>
          <w:sz w:val="24"/>
          <w:highlight w:val="none"/>
        </w:rPr>
        <w:t>供应商名称（公章）：</w:t>
      </w:r>
      <w:r>
        <w:rPr>
          <w:sz w:val="24"/>
          <w:szCs w:val="24"/>
          <w:highlight w:val="none"/>
          <w:u w:val="single"/>
        </w:rPr>
        <w:t xml:space="preserve">                     </w:t>
      </w:r>
      <w:r>
        <w:rPr>
          <w:sz w:val="24"/>
          <w:szCs w:val="24"/>
          <w:highlight w:val="none"/>
        </w:rPr>
        <w:t xml:space="preserve">    </w:t>
      </w:r>
    </w:p>
    <w:p w14:paraId="70E93D01">
      <w:pPr>
        <w:pStyle w:val="4"/>
        <w:spacing w:line="500" w:lineRule="exact"/>
        <w:ind w:left="15" w:leftChars="-50" w:hanging="120" w:hangingChars="50"/>
        <w:rPr>
          <w:sz w:val="24"/>
          <w:szCs w:val="24"/>
          <w:highlight w:val="none"/>
        </w:rPr>
      </w:pPr>
    </w:p>
    <w:p w14:paraId="2ABDC3D0">
      <w:pPr>
        <w:pStyle w:val="4"/>
        <w:spacing w:line="500" w:lineRule="exact"/>
        <w:ind w:left="15" w:leftChars="-50" w:hanging="120" w:hangingChars="50"/>
        <w:rPr>
          <w:sz w:val="24"/>
          <w:szCs w:val="24"/>
          <w:highlight w:val="none"/>
        </w:rPr>
      </w:pPr>
      <w:r>
        <w:rPr>
          <w:sz w:val="24"/>
          <w:szCs w:val="24"/>
          <w:highlight w:val="none"/>
        </w:rPr>
        <w:t>法定代表人（授权代表）签字：</w:t>
      </w:r>
      <w:r>
        <w:rPr>
          <w:sz w:val="24"/>
          <w:szCs w:val="24"/>
          <w:highlight w:val="none"/>
          <w:u w:val="single"/>
        </w:rPr>
        <w:t xml:space="preserve">              </w:t>
      </w:r>
    </w:p>
    <w:p w14:paraId="7F5D1FE8">
      <w:pPr>
        <w:spacing w:line="500" w:lineRule="exact"/>
        <w:ind w:hanging="315"/>
        <w:jc w:val="right"/>
        <w:rPr>
          <w:sz w:val="24"/>
          <w:highlight w:val="none"/>
        </w:rPr>
      </w:pPr>
      <w:r>
        <w:rPr>
          <w:sz w:val="24"/>
          <w:szCs w:val="24"/>
          <w:highlight w:val="none"/>
        </w:rPr>
        <w:t xml:space="preserve">                                </w:t>
      </w:r>
      <w:r>
        <w:rPr>
          <w:sz w:val="24"/>
          <w:highlight w:val="none"/>
        </w:rPr>
        <w:t xml:space="preserve">                                                                                        日期：</w:t>
      </w:r>
      <w:r>
        <w:rPr>
          <w:sz w:val="24"/>
          <w:highlight w:val="none"/>
          <w:u w:val="single"/>
        </w:rPr>
        <w:t xml:space="preserve">     </w:t>
      </w:r>
      <w:r>
        <w:rPr>
          <w:sz w:val="24"/>
          <w:highlight w:val="none"/>
        </w:rPr>
        <w:t xml:space="preserve"> 年</w:t>
      </w:r>
      <w:r>
        <w:rPr>
          <w:sz w:val="24"/>
          <w:highlight w:val="none"/>
          <w:u w:val="single"/>
        </w:rPr>
        <w:t xml:space="preserve">     </w:t>
      </w:r>
      <w:r>
        <w:rPr>
          <w:sz w:val="24"/>
          <w:highlight w:val="none"/>
        </w:rPr>
        <w:t>月</w:t>
      </w:r>
      <w:r>
        <w:rPr>
          <w:sz w:val="24"/>
          <w:highlight w:val="none"/>
          <w:u w:val="single"/>
        </w:rPr>
        <w:t xml:space="preserve">     </w:t>
      </w:r>
      <w:r>
        <w:rPr>
          <w:sz w:val="24"/>
          <w:highlight w:val="none"/>
        </w:rPr>
        <w:t>日</w:t>
      </w:r>
    </w:p>
    <w:p w14:paraId="704B472D">
      <w:pPr>
        <w:rPr>
          <w:rFonts w:eastAsia="仿宋_GB2312"/>
          <w:sz w:val="24"/>
          <w:highlight w:val="none"/>
        </w:rPr>
      </w:pPr>
    </w:p>
    <w:p w14:paraId="7B7B9EDE">
      <w:pPr>
        <w:rPr>
          <w:sz w:val="24"/>
          <w:highlight w:val="none"/>
        </w:rPr>
      </w:pPr>
      <w:r>
        <w:rPr>
          <w:sz w:val="24"/>
          <w:highlight w:val="none"/>
        </w:rPr>
        <w:t>填写说明：</w:t>
      </w:r>
    </w:p>
    <w:p w14:paraId="673EDB54">
      <w:pPr>
        <w:spacing w:line="400" w:lineRule="exact"/>
        <w:ind w:firstLine="480" w:firstLineChars="200"/>
        <w:rPr>
          <w:rFonts w:ascii="宋体" w:hAnsi="宋体"/>
          <w:sz w:val="24"/>
          <w:szCs w:val="24"/>
          <w:highlight w:val="none"/>
        </w:rPr>
      </w:pPr>
      <w:r>
        <w:rPr>
          <w:rFonts w:hint="eastAsia" w:ascii="宋体" w:hAnsi="宋体"/>
          <w:sz w:val="24"/>
          <w:szCs w:val="24"/>
          <w:highlight w:val="none"/>
        </w:rPr>
        <w:t>1、供应商须根据第四章《项目需求》要求填写此表，作为投标文件的组成部分。</w:t>
      </w:r>
    </w:p>
    <w:p w14:paraId="375196AC">
      <w:pPr>
        <w:spacing w:line="400" w:lineRule="exact"/>
        <w:ind w:firstLine="480" w:firstLineChars="200"/>
        <w:rPr>
          <w:rFonts w:ascii="宋体" w:hAnsi="宋体"/>
          <w:sz w:val="24"/>
          <w:szCs w:val="24"/>
          <w:highlight w:val="none"/>
        </w:rPr>
      </w:pPr>
      <w:r>
        <w:rPr>
          <w:rFonts w:hint="eastAsia" w:ascii="宋体" w:hAnsi="宋体"/>
          <w:sz w:val="24"/>
          <w:szCs w:val="24"/>
          <w:highlight w:val="none"/>
        </w:rPr>
        <w:t>2、所有偏离必须在本表中列出，未在本偏离表中列出偏离，将视为供应商已完全接受招标文件要求。</w:t>
      </w:r>
    </w:p>
    <w:p w14:paraId="41C4D045">
      <w:pPr>
        <w:spacing w:line="400" w:lineRule="exact"/>
        <w:ind w:firstLine="480" w:firstLineChars="200"/>
        <w:rPr>
          <w:rFonts w:ascii="宋体" w:hAnsi="宋体"/>
          <w:sz w:val="24"/>
          <w:szCs w:val="24"/>
          <w:highlight w:val="none"/>
        </w:rPr>
      </w:pPr>
      <w:r>
        <w:rPr>
          <w:rFonts w:hint="eastAsia" w:ascii="宋体" w:hAnsi="宋体"/>
          <w:sz w:val="24"/>
          <w:szCs w:val="24"/>
          <w:highlight w:val="none"/>
        </w:rPr>
        <w:t>3、偏离包括正、负偏离，正偏离指供应商的响应高于招标文件要求，负偏离指供应商的响应低于招标文件要求。</w:t>
      </w:r>
    </w:p>
    <w:p w14:paraId="46374FF3">
      <w:pPr>
        <w:widowControl/>
        <w:jc w:val="left"/>
        <w:rPr>
          <w:b/>
          <w:sz w:val="32"/>
          <w:szCs w:val="24"/>
          <w:highlight w:val="none"/>
        </w:rPr>
      </w:pPr>
      <w:r>
        <w:rPr>
          <w:b/>
          <w:sz w:val="32"/>
          <w:szCs w:val="24"/>
          <w:highlight w:val="none"/>
        </w:rPr>
        <w:br w:type="page"/>
      </w:r>
    </w:p>
    <w:p w14:paraId="48CA7BBF">
      <w:pPr>
        <w:pStyle w:val="5"/>
        <w:spacing w:before="0" w:after="0" w:line="538" w:lineRule="exact"/>
        <w:ind w:firstLine="482" w:firstLineChars="150"/>
        <w:jc w:val="center"/>
        <w:rPr>
          <w:highlight w:val="none"/>
        </w:rPr>
      </w:pPr>
      <w:r>
        <w:rPr>
          <w:rFonts w:hint="eastAsia"/>
          <w:highlight w:val="none"/>
        </w:rPr>
        <w:t>1</w:t>
      </w:r>
      <w:r>
        <w:rPr>
          <w:rFonts w:hint="eastAsia"/>
          <w:highlight w:val="none"/>
          <w:lang w:val="en-US" w:eastAsia="zh-CN"/>
        </w:rPr>
        <w:t>4</w:t>
      </w:r>
      <w:r>
        <w:rPr>
          <w:rFonts w:hint="eastAsia"/>
          <w:highlight w:val="none"/>
        </w:rPr>
        <w:t>．</w:t>
      </w:r>
      <w:r>
        <w:rPr>
          <w:highlight w:val="none"/>
        </w:rPr>
        <w:t>项目实施</w:t>
      </w:r>
      <w:r>
        <w:rPr>
          <w:rFonts w:hint="eastAsia"/>
          <w:highlight w:val="none"/>
        </w:rPr>
        <w:t>方案</w:t>
      </w:r>
    </w:p>
    <w:p w14:paraId="0616DF3C">
      <w:pPr>
        <w:jc w:val="center"/>
        <w:rPr>
          <w:b/>
          <w:sz w:val="32"/>
          <w:szCs w:val="24"/>
          <w:highlight w:val="none"/>
        </w:rPr>
      </w:pPr>
    </w:p>
    <w:p w14:paraId="30792925">
      <w:pPr>
        <w:spacing w:line="440" w:lineRule="exact"/>
        <w:jc w:val="center"/>
        <w:rPr>
          <w:bCs/>
          <w:sz w:val="32"/>
          <w:szCs w:val="32"/>
          <w:highlight w:val="none"/>
        </w:rPr>
      </w:pPr>
      <w:r>
        <w:rPr>
          <w:bCs/>
          <w:sz w:val="32"/>
          <w:szCs w:val="32"/>
          <w:highlight w:val="none"/>
        </w:rPr>
        <w:t>（格式自定）</w:t>
      </w:r>
    </w:p>
    <w:p w14:paraId="36189757">
      <w:pPr>
        <w:spacing w:line="360" w:lineRule="auto"/>
        <w:ind w:firstLine="420" w:firstLineChars="200"/>
        <w:rPr>
          <w:highlight w:val="none"/>
        </w:rPr>
      </w:pPr>
    </w:p>
    <w:p w14:paraId="260C9A97">
      <w:pPr>
        <w:pStyle w:val="4"/>
        <w:spacing w:line="500" w:lineRule="exact"/>
        <w:ind w:left="15" w:leftChars="-50" w:hanging="120" w:hangingChars="50"/>
        <w:rPr>
          <w:sz w:val="24"/>
          <w:szCs w:val="24"/>
          <w:highlight w:val="none"/>
        </w:rPr>
      </w:pPr>
    </w:p>
    <w:p w14:paraId="209B260F">
      <w:pPr>
        <w:pStyle w:val="4"/>
        <w:spacing w:line="500" w:lineRule="exact"/>
        <w:ind w:left="15" w:leftChars="-50" w:hanging="120" w:hangingChars="50"/>
        <w:rPr>
          <w:sz w:val="24"/>
          <w:szCs w:val="24"/>
          <w:highlight w:val="none"/>
        </w:rPr>
      </w:pPr>
    </w:p>
    <w:p w14:paraId="743E852B">
      <w:pPr>
        <w:pStyle w:val="5"/>
        <w:spacing w:before="0" w:after="0" w:line="538" w:lineRule="exact"/>
        <w:ind w:firstLine="482" w:firstLineChars="150"/>
        <w:jc w:val="center"/>
        <w:rPr>
          <w:highlight w:val="none"/>
        </w:rPr>
      </w:pPr>
      <w:r>
        <w:rPr>
          <w:rFonts w:hint="eastAsia"/>
          <w:highlight w:val="none"/>
        </w:rPr>
        <w:t>1</w:t>
      </w:r>
      <w:r>
        <w:rPr>
          <w:rFonts w:hint="eastAsia"/>
          <w:highlight w:val="none"/>
          <w:lang w:val="en-US" w:eastAsia="zh-CN"/>
        </w:rPr>
        <w:t>5</w:t>
      </w:r>
      <w:r>
        <w:rPr>
          <w:rFonts w:hint="eastAsia"/>
          <w:highlight w:val="none"/>
        </w:rPr>
        <w:t>．技术及售后服务承诺</w:t>
      </w:r>
    </w:p>
    <w:p w14:paraId="6F7FE138">
      <w:pPr>
        <w:pStyle w:val="4"/>
        <w:spacing w:line="500" w:lineRule="exact"/>
        <w:ind w:left="56" w:leftChars="-50" w:hanging="161" w:hangingChars="50"/>
        <w:rPr>
          <w:b/>
          <w:sz w:val="32"/>
          <w:szCs w:val="24"/>
          <w:highlight w:val="none"/>
        </w:rPr>
      </w:pPr>
    </w:p>
    <w:p w14:paraId="714A8686">
      <w:pPr>
        <w:pStyle w:val="4"/>
        <w:spacing w:line="500" w:lineRule="exact"/>
        <w:ind w:left="56" w:leftChars="-50" w:hanging="161" w:hangingChars="50"/>
        <w:rPr>
          <w:b/>
          <w:sz w:val="32"/>
          <w:szCs w:val="24"/>
          <w:highlight w:val="none"/>
        </w:rPr>
      </w:pPr>
    </w:p>
    <w:p w14:paraId="23604184">
      <w:pPr>
        <w:spacing w:line="440" w:lineRule="exact"/>
        <w:jc w:val="center"/>
        <w:rPr>
          <w:bCs/>
          <w:sz w:val="32"/>
          <w:szCs w:val="32"/>
          <w:highlight w:val="none"/>
        </w:rPr>
      </w:pPr>
      <w:r>
        <w:rPr>
          <w:bCs/>
          <w:sz w:val="32"/>
          <w:szCs w:val="32"/>
          <w:highlight w:val="none"/>
        </w:rPr>
        <w:t>（格式自定）</w:t>
      </w:r>
    </w:p>
    <w:p w14:paraId="7696799A">
      <w:pPr>
        <w:pStyle w:val="4"/>
        <w:spacing w:line="500" w:lineRule="exact"/>
        <w:ind w:left="56" w:leftChars="-50" w:hanging="161" w:hangingChars="50"/>
        <w:rPr>
          <w:b/>
          <w:sz w:val="32"/>
          <w:szCs w:val="24"/>
          <w:highlight w:val="none"/>
        </w:rPr>
      </w:pPr>
    </w:p>
    <w:p w14:paraId="34EC27B4">
      <w:pPr>
        <w:pStyle w:val="4"/>
        <w:spacing w:line="500" w:lineRule="exact"/>
        <w:ind w:left="56" w:leftChars="-50" w:hanging="161" w:hangingChars="50"/>
        <w:rPr>
          <w:b/>
          <w:sz w:val="32"/>
          <w:szCs w:val="24"/>
          <w:highlight w:val="none"/>
        </w:rPr>
      </w:pPr>
    </w:p>
    <w:p w14:paraId="682D7321">
      <w:pPr>
        <w:pStyle w:val="4"/>
        <w:spacing w:line="500" w:lineRule="exact"/>
        <w:ind w:left="56" w:leftChars="-50" w:hanging="161" w:hangingChars="50"/>
        <w:rPr>
          <w:b/>
          <w:sz w:val="32"/>
          <w:szCs w:val="24"/>
          <w:highlight w:val="none"/>
        </w:rPr>
      </w:pPr>
    </w:p>
    <w:p w14:paraId="70B00318">
      <w:pPr>
        <w:pStyle w:val="5"/>
        <w:spacing w:before="0" w:after="0" w:line="538" w:lineRule="exact"/>
        <w:ind w:firstLine="482" w:firstLineChars="150"/>
        <w:jc w:val="center"/>
        <w:rPr>
          <w:highlight w:val="none"/>
        </w:rPr>
      </w:pPr>
      <w:r>
        <w:rPr>
          <w:highlight w:val="none"/>
        </w:rPr>
        <w:br w:type="page"/>
      </w:r>
      <w:r>
        <w:rPr>
          <w:rFonts w:hint="eastAsia"/>
          <w:highlight w:val="none"/>
        </w:rPr>
        <w:t>1</w:t>
      </w:r>
      <w:r>
        <w:rPr>
          <w:rFonts w:hint="eastAsia"/>
          <w:highlight w:val="none"/>
          <w:lang w:val="en-US" w:eastAsia="zh-CN"/>
        </w:rPr>
        <w:t>6</w:t>
      </w:r>
      <w:r>
        <w:rPr>
          <w:rFonts w:hint="eastAsia"/>
          <w:highlight w:val="none"/>
        </w:rPr>
        <w:t>．相关证明文件及材料</w:t>
      </w:r>
    </w:p>
    <w:p w14:paraId="7AA93457">
      <w:pPr>
        <w:pStyle w:val="4"/>
        <w:spacing w:line="500" w:lineRule="exact"/>
        <w:ind w:left="15" w:leftChars="-50" w:hanging="120" w:hangingChars="50"/>
        <w:rPr>
          <w:sz w:val="24"/>
          <w:szCs w:val="24"/>
          <w:highlight w:val="none"/>
        </w:rPr>
      </w:pPr>
      <w:r>
        <w:rPr>
          <w:rFonts w:hint="eastAsia"/>
          <w:sz w:val="24"/>
          <w:szCs w:val="24"/>
          <w:highlight w:val="none"/>
        </w:rPr>
        <w:t>1、资格审查的证明材料</w:t>
      </w:r>
    </w:p>
    <w:p w14:paraId="7D27D3DF">
      <w:pPr>
        <w:pStyle w:val="4"/>
        <w:spacing w:line="500" w:lineRule="exact"/>
        <w:ind w:left="15" w:leftChars="-50" w:hanging="120" w:hangingChars="50"/>
        <w:rPr>
          <w:sz w:val="24"/>
          <w:szCs w:val="24"/>
          <w:highlight w:val="none"/>
        </w:rPr>
      </w:pPr>
      <w:r>
        <w:rPr>
          <w:rFonts w:hint="eastAsia"/>
          <w:sz w:val="24"/>
          <w:szCs w:val="24"/>
          <w:highlight w:val="none"/>
        </w:rPr>
        <w:t>2、招标文件要求的相关证明材料（如有）</w:t>
      </w:r>
    </w:p>
    <w:p w14:paraId="74BFDF1C">
      <w:pPr>
        <w:pStyle w:val="4"/>
        <w:spacing w:line="500" w:lineRule="exact"/>
        <w:ind w:left="15" w:leftChars="-50" w:hanging="120" w:hangingChars="50"/>
        <w:rPr>
          <w:sz w:val="24"/>
          <w:szCs w:val="24"/>
          <w:highlight w:val="none"/>
        </w:rPr>
      </w:pPr>
      <w:r>
        <w:rPr>
          <w:rFonts w:hint="eastAsia"/>
          <w:sz w:val="24"/>
          <w:szCs w:val="24"/>
          <w:highlight w:val="none"/>
        </w:rPr>
        <w:t>3、供应商认为有必要的项目证明材料（如有）</w:t>
      </w:r>
    </w:p>
    <w:p w14:paraId="627D92D4">
      <w:pPr>
        <w:pStyle w:val="81"/>
        <w:spacing w:after="156" w:afterLines="50" w:line="360" w:lineRule="auto"/>
        <w:ind w:left="0" w:firstLine="0"/>
        <w:rPr>
          <w:rFonts w:ascii="Times New Roman" w:hAnsi="Times New Roman" w:eastAsia="宋体"/>
          <w:highlight w:val="none"/>
        </w:rPr>
      </w:pPr>
      <w:r>
        <w:rPr>
          <w:rFonts w:ascii="Times New Roman" w:hAnsi="Times New Roman"/>
          <w:b w:val="0"/>
          <w:bCs/>
          <w:sz w:val="32"/>
          <w:szCs w:val="32"/>
          <w:highlight w:val="none"/>
        </w:rPr>
        <w:br w:type="page"/>
      </w:r>
      <w:bookmarkEnd w:id="202"/>
      <w:bookmarkEnd w:id="203"/>
      <w:bookmarkEnd w:id="204"/>
      <w:bookmarkEnd w:id="205"/>
      <w:bookmarkStart w:id="212" w:name="_Toc511305223"/>
      <w:bookmarkStart w:id="213" w:name="_Toc511899530"/>
      <w:bookmarkStart w:id="214" w:name="_Toc511385438"/>
      <w:r>
        <w:rPr>
          <w:rFonts w:ascii="Times New Roman" w:hAnsi="Times New Roman" w:eastAsia="宋体"/>
          <w:highlight w:val="none"/>
        </w:rPr>
        <w:t>附件</w:t>
      </w:r>
      <w:bookmarkEnd w:id="212"/>
      <w:bookmarkEnd w:id="213"/>
      <w:bookmarkEnd w:id="214"/>
    </w:p>
    <w:p w14:paraId="33AB19E8">
      <w:pPr>
        <w:pStyle w:val="2"/>
        <w:spacing w:line="560" w:lineRule="exact"/>
        <w:rPr>
          <w:rFonts w:ascii="Times New Roman" w:eastAsia="黑体"/>
          <w:bCs/>
          <w:sz w:val="44"/>
          <w:highlight w:val="none"/>
        </w:rPr>
      </w:pPr>
      <w:bookmarkStart w:id="215" w:name="_Toc511899531"/>
      <w:bookmarkStart w:id="216" w:name="_Toc511305224"/>
      <w:bookmarkStart w:id="217" w:name="_Toc121905582"/>
      <w:bookmarkStart w:id="218" w:name="_Toc511385439"/>
      <w:bookmarkStart w:id="219" w:name="_Toc145408603"/>
      <w:r>
        <w:rPr>
          <w:rFonts w:ascii="Times New Roman" w:eastAsia="黑体"/>
          <w:bCs/>
          <w:sz w:val="44"/>
          <w:highlight w:val="none"/>
        </w:rPr>
        <w:t>质疑函范本</w:t>
      </w:r>
      <w:bookmarkEnd w:id="215"/>
      <w:bookmarkEnd w:id="216"/>
      <w:bookmarkEnd w:id="217"/>
      <w:bookmarkEnd w:id="218"/>
      <w:bookmarkEnd w:id="219"/>
    </w:p>
    <w:p w14:paraId="26AF2B89">
      <w:pPr>
        <w:adjustRightInd w:val="0"/>
        <w:snapToGrid w:val="0"/>
        <w:spacing w:before="312" w:beforeLines="100" w:line="510" w:lineRule="exact"/>
        <w:rPr>
          <w:rFonts w:ascii="Times New Roman" w:hAnsi="Times New Roman" w:eastAsia="黑体"/>
          <w:bCs/>
          <w:sz w:val="28"/>
          <w:szCs w:val="32"/>
          <w:highlight w:val="none"/>
        </w:rPr>
      </w:pPr>
      <w:r>
        <w:rPr>
          <w:rFonts w:ascii="Times New Roman" w:hAnsi="Times New Roman" w:eastAsia="黑体"/>
          <w:bCs/>
          <w:sz w:val="28"/>
          <w:szCs w:val="32"/>
          <w:highlight w:val="none"/>
        </w:rPr>
        <w:t>一、质疑供应商基本信息</w:t>
      </w:r>
    </w:p>
    <w:p w14:paraId="33D3034A">
      <w:pPr>
        <w:adjustRightInd w:val="0"/>
        <w:snapToGrid w:val="0"/>
        <w:spacing w:line="510" w:lineRule="exact"/>
        <w:rPr>
          <w:rFonts w:ascii="Times New Roman" w:hAnsi="Times New Roman" w:eastAsia="仿宋"/>
          <w:sz w:val="28"/>
          <w:szCs w:val="32"/>
          <w:highlight w:val="none"/>
          <w:u w:val="dotted"/>
        </w:rPr>
      </w:pPr>
      <w:r>
        <w:rPr>
          <w:rFonts w:ascii="Times New Roman" w:hAnsi="Times New Roman" w:eastAsia="仿宋"/>
          <w:sz w:val="28"/>
          <w:szCs w:val="32"/>
          <w:highlight w:val="none"/>
        </w:rPr>
        <w:t>质疑供应商：</w:t>
      </w:r>
      <w:r>
        <w:rPr>
          <w:rFonts w:ascii="Times New Roman" w:hAnsi="Times New Roman" w:eastAsia="仿宋"/>
          <w:sz w:val="28"/>
          <w:szCs w:val="32"/>
          <w:highlight w:val="none"/>
          <w:u w:val="dotted"/>
        </w:rPr>
        <w:t xml:space="preserve">                                        </w:t>
      </w:r>
    </w:p>
    <w:p w14:paraId="5C7BFF47">
      <w:pPr>
        <w:adjustRightInd w:val="0"/>
        <w:snapToGrid w:val="0"/>
        <w:spacing w:line="510" w:lineRule="exact"/>
        <w:rPr>
          <w:rFonts w:ascii="Times New Roman" w:hAnsi="Times New Roman" w:eastAsia="仿宋"/>
          <w:sz w:val="28"/>
          <w:szCs w:val="32"/>
          <w:highlight w:val="none"/>
        </w:rPr>
      </w:pPr>
      <w:r>
        <w:rPr>
          <w:rFonts w:ascii="Times New Roman" w:hAnsi="Times New Roman" w:eastAsia="仿宋"/>
          <w:sz w:val="28"/>
          <w:szCs w:val="32"/>
          <w:highlight w:val="none"/>
        </w:rPr>
        <w:t>地址：</w:t>
      </w:r>
      <w:r>
        <w:rPr>
          <w:rFonts w:ascii="Times New Roman" w:hAnsi="Times New Roman" w:eastAsia="仿宋"/>
          <w:sz w:val="28"/>
          <w:szCs w:val="32"/>
          <w:highlight w:val="none"/>
          <w:u w:val="dotted"/>
        </w:rPr>
        <w:t xml:space="preserve">                          </w:t>
      </w:r>
      <w:r>
        <w:rPr>
          <w:rFonts w:ascii="Times New Roman" w:hAnsi="Times New Roman" w:eastAsia="仿宋"/>
          <w:sz w:val="28"/>
          <w:szCs w:val="32"/>
          <w:highlight w:val="none"/>
        </w:rPr>
        <w:t>邮编：</w:t>
      </w:r>
      <w:r>
        <w:rPr>
          <w:rFonts w:ascii="Times New Roman" w:hAnsi="Times New Roman" w:eastAsia="仿宋"/>
          <w:sz w:val="28"/>
          <w:szCs w:val="32"/>
          <w:highlight w:val="none"/>
          <w:u w:val="dotted"/>
        </w:rPr>
        <w:t xml:space="preserve">                                                   </w:t>
      </w:r>
    </w:p>
    <w:p w14:paraId="67B1C966">
      <w:pPr>
        <w:adjustRightInd w:val="0"/>
        <w:snapToGrid w:val="0"/>
        <w:spacing w:line="510" w:lineRule="exact"/>
        <w:rPr>
          <w:rFonts w:ascii="Times New Roman" w:hAnsi="Times New Roman" w:eastAsia="仿宋"/>
          <w:sz w:val="28"/>
          <w:szCs w:val="32"/>
          <w:highlight w:val="none"/>
        </w:rPr>
      </w:pPr>
      <w:r>
        <w:rPr>
          <w:rFonts w:ascii="Times New Roman" w:hAnsi="Times New Roman" w:eastAsia="仿宋"/>
          <w:sz w:val="28"/>
          <w:szCs w:val="32"/>
          <w:highlight w:val="none"/>
        </w:rPr>
        <w:t>联系人：</w:t>
      </w:r>
      <w:r>
        <w:rPr>
          <w:rFonts w:ascii="Times New Roman" w:hAnsi="Times New Roman" w:eastAsia="仿宋"/>
          <w:sz w:val="28"/>
          <w:szCs w:val="32"/>
          <w:highlight w:val="none"/>
          <w:u w:val="dotted"/>
        </w:rPr>
        <w:t xml:space="preserve">                      </w:t>
      </w:r>
      <w:r>
        <w:rPr>
          <w:rFonts w:ascii="Times New Roman" w:hAnsi="Times New Roman" w:eastAsia="仿宋"/>
          <w:sz w:val="28"/>
          <w:szCs w:val="32"/>
          <w:highlight w:val="none"/>
        </w:rPr>
        <w:t>联系电话：</w:t>
      </w:r>
      <w:r>
        <w:rPr>
          <w:rFonts w:ascii="Times New Roman" w:hAnsi="Times New Roman" w:eastAsia="仿宋"/>
          <w:sz w:val="28"/>
          <w:szCs w:val="32"/>
          <w:highlight w:val="none"/>
          <w:u w:val="dotted"/>
        </w:rPr>
        <w:t xml:space="preserve">                              </w:t>
      </w:r>
    </w:p>
    <w:p w14:paraId="6384715F">
      <w:pPr>
        <w:adjustRightInd w:val="0"/>
        <w:snapToGrid w:val="0"/>
        <w:spacing w:line="510" w:lineRule="exact"/>
        <w:rPr>
          <w:rFonts w:ascii="Times New Roman" w:hAnsi="Times New Roman" w:eastAsia="仿宋"/>
          <w:sz w:val="28"/>
          <w:szCs w:val="32"/>
          <w:highlight w:val="none"/>
          <w:u w:val="dotted"/>
        </w:rPr>
      </w:pPr>
      <w:r>
        <w:rPr>
          <w:rFonts w:ascii="Times New Roman" w:hAnsi="Times New Roman" w:eastAsia="仿宋"/>
          <w:sz w:val="28"/>
          <w:szCs w:val="32"/>
          <w:highlight w:val="none"/>
        </w:rPr>
        <w:t>授权代表：</w:t>
      </w:r>
      <w:r>
        <w:rPr>
          <w:rFonts w:ascii="Times New Roman" w:hAnsi="Times New Roman" w:eastAsia="仿宋"/>
          <w:sz w:val="28"/>
          <w:szCs w:val="32"/>
          <w:highlight w:val="none"/>
          <w:u w:val="dotted"/>
        </w:rPr>
        <w:t xml:space="preserve">                                          </w:t>
      </w:r>
    </w:p>
    <w:p w14:paraId="477C8E22">
      <w:pPr>
        <w:adjustRightInd w:val="0"/>
        <w:snapToGrid w:val="0"/>
        <w:spacing w:line="510" w:lineRule="exact"/>
        <w:rPr>
          <w:rFonts w:ascii="Times New Roman" w:hAnsi="Times New Roman" w:eastAsia="仿宋"/>
          <w:sz w:val="28"/>
          <w:szCs w:val="32"/>
          <w:highlight w:val="none"/>
        </w:rPr>
      </w:pPr>
      <w:r>
        <w:rPr>
          <w:rFonts w:ascii="Times New Roman" w:hAnsi="Times New Roman" w:eastAsia="仿宋"/>
          <w:sz w:val="28"/>
          <w:szCs w:val="32"/>
          <w:highlight w:val="none"/>
        </w:rPr>
        <w:t>联系电话：</w:t>
      </w:r>
      <w:r>
        <w:rPr>
          <w:rFonts w:ascii="Times New Roman" w:hAnsi="Times New Roman" w:eastAsia="仿宋"/>
          <w:sz w:val="28"/>
          <w:szCs w:val="32"/>
          <w:highlight w:val="none"/>
          <w:u w:val="dotted"/>
        </w:rPr>
        <w:t xml:space="preserve">                                           </w:t>
      </w:r>
      <w:r>
        <w:rPr>
          <w:rFonts w:ascii="Times New Roman" w:hAnsi="Times New Roman" w:eastAsia="仿宋"/>
          <w:sz w:val="28"/>
          <w:szCs w:val="32"/>
          <w:highlight w:val="none"/>
        </w:rPr>
        <w:t xml:space="preserve"> </w:t>
      </w:r>
    </w:p>
    <w:p w14:paraId="4A089DB0">
      <w:pPr>
        <w:adjustRightInd w:val="0"/>
        <w:snapToGrid w:val="0"/>
        <w:spacing w:line="510" w:lineRule="exact"/>
        <w:rPr>
          <w:rFonts w:ascii="Times New Roman" w:hAnsi="Times New Roman" w:eastAsia="仿宋"/>
          <w:sz w:val="28"/>
          <w:szCs w:val="32"/>
          <w:highlight w:val="none"/>
        </w:rPr>
      </w:pPr>
      <w:r>
        <w:rPr>
          <w:rFonts w:ascii="Times New Roman" w:hAnsi="Times New Roman" w:eastAsia="仿宋"/>
          <w:sz w:val="28"/>
          <w:szCs w:val="32"/>
          <w:highlight w:val="none"/>
        </w:rPr>
        <w:t xml:space="preserve">地址： </w:t>
      </w:r>
      <w:r>
        <w:rPr>
          <w:rFonts w:ascii="Times New Roman" w:hAnsi="Times New Roman" w:eastAsia="仿宋"/>
          <w:sz w:val="28"/>
          <w:szCs w:val="32"/>
          <w:highlight w:val="none"/>
          <w:u w:val="dotted"/>
        </w:rPr>
        <w:t xml:space="preserve">                        </w:t>
      </w:r>
      <w:r>
        <w:rPr>
          <w:rFonts w:ascii="Times New Roman" w:hAnsi="Times New Roman" w:eastAsia="仿宋"/>
          <w:sz w:val="28"/>
          <w:szCs w:val="32"/>
          <w:highlight w:val="none"/>
        </w:rPr>
        <w:t>邮编：</w:t>
      </w:r>
      <w:r>
        <w:rPr>
          <w:rFonts w:ascii="Times New Roman" w:hAnsi="Times New Roman" w:eastAsia="仿宋"/>
          <w:sz w:val="28"/>
          <w:szCs w:val="32"/>
          <w:highlight w:val="none"/>
          <w:u w:val="dotted"/>
        </w:rPr>
        <w:t xml:space="preserve">                                                </w:t>
      </w:r>
    </w:p>
    <w:p w14:paraId="3490367F">
      <w:pPr>
        <w:adjustRightInd w:val="0"/>
        <w:snapToGrid w:val="0"/>
        <w:spacing w:line="510" w:lineRule="exact"/>
        <w:rPr>
          <w:rFonts w:ascii="Times New Roman" w:hAnsi="Times New Roman" w:eastAsia="黑体"/>
          <w:bCs/>
          <w:sz w:val="28"/>
          <w:szCs w:val="32"/>
          <w:highlight w:val="none"/>
        </w:rPr>
      </w:pPr>
      <w:r>
        <w:rPr>
          <w:rFonts w:ascii="Times New Roman" w:hAnsi="Times New Roman" w:eastAsia="黑体"/>
          <w:bCs/>
          <w:sz w:val="28"/>
          <w:szCs w:val="32"/>
          <w:highlight w:val="none"/>
        </w:rPr>
        <w:t>二、质疑项目基本情况</w:t>
      </w:r>
    </w:p>
    <w:p w14:paraId="13612402">
      <w:pPr>
        <w:adjustRightInd w:val="0"/>
        <w:snapToGrid w:val="0"/>
        <w:spacing w:line="510" w:lineRule="exact"/>
        <w:rPr>
          <w:rFonts w:ascii="Times New Roman" w:hAnsi="Times New Roman" w:eastAsia="仿宋"/>
          <w:sz w:val="28"/>
          <w:szCs w:val="32"/>
          <w:highlight w:val="none"/>
        </w:rPr>
      </w:pPr>
      <w:r>
        <w:rPr>
          <w:rFonts w:ascii="Times New Roman" w:hAnsi="Times New Roman" w:eastAsia="仿宋"/>
          <w:sz w:val="28"/>
          <w:szCs w:val="32"/>
          <w:highlight w:val="none"/>
        </w:rPr>
        <w:t>质疑项目的名称：</w:t>
      </w:r>
      <w:r>
        <w:rPr>
          <w:rFonts w:ascii="Times New Roman" w:hAnsi="Times New Roman" w:eastAsia="仿宋"/>
          <w:sz w:val="28"/>
          <w:szCs w:val="32"/>
          <w:highlight w:val="none"/>
          <w:u w:val="dotted"/>
        </w:rPr>
        <w:t xml:space="preserve">                                      </w:t>
      </w:r>
    </w:p>
    <w:p w14:paraId="17E0FFF8">
      <w:pPr>
        <w:adjustRightInd w:val="0"/>
        <w:snapToGrid w:val="0"/>
        <w:spacing w:line="510" w:lineRule="exact"/>
        <w:rPr>
          <w:rFonts w:ascii="Times New Roman" w:hAnsi="Times New Roman" w:eastAsia="仿宋"/>
          <w:sz w:val="28"/>
          <w:szCs w:val="32"/>
          <w:highlight w:val="none"/>
        </w:rPr>
      </w:pPr>
      <w:r>
        <w:rPr>
          <w:rFonts w:ascii="Times New Roman" w:hAnsi="Times New Roman" w:eastAsia="仿宋"/>
          <w:sz w:val="28"/>
          <w:szCs w:val="32"/>
          <w:highlight w:val="none"/>
        </w:rPr>
        <w:t>质疑项目的编号：</w:t>
      </w:r>
      <w:r>
        <w:rPr>
          <w:rFonts w:ascii="Times New Roman" w:hAnsi="Times New Roman" w:eastAsia="仿宋"/>
          <w:sz w:val="28"/>
          <w:szCs w:val="32"/>
          <w:highlight w:val="none"/>
          <w:u w:val="dotted"/>
        </w:rPr>
        <w:t xml:space="preserve">               </w:t>
      </w:r>
      <w:r>
        <w:rPr>
          <w:rFonts w:ascii="Times New Roman" w:hAnsi="Times New Roman" w:eastAsia="仿宋"/>
          <w:sz w:val="28"/>
          <w:szCs w:val="32"/>
          <w:highlight w:val="none"/>
        </w:rPr>
        <w:t>包号：</w:t>
      </w:r>
      <w:r>
        <w:rPr>
          <w:rFonts w:ascii="Times New Roman" w:hAnsi="Times New Roman" w:eastAsia="仿宋"/>
          <w:sz w:val="28"/>
          <w:szCs w:val="32"/>
          <w:highlight w:val="none"/>
          <w:u w:val="dotted"/>
        </w:rPr>
        <w:t xml:space="preserve">                 </w:t>
      </w:r>
    </w:p>
    <w:p w14:paraId="6ED85C7A">
      <w:pPr>
        <w:adjustRightInd w:val="0"/>
        <w:snapToGrid w:val="0"/>
        <w:spacing w:line="510" w:lineRule="exact"/>
        <w:rPr>
          <w:rFonts w:ascii="Times New Roman" w:hAnsi="Times New Roman" w:eastAsia="仿宋"/>
          <w:sz w:val="28"/>
          <w:szCs w:val="32"/>
          <w:highlight w:val="none"/>
          <w:u w:val="dotted"/>
        </w:rPr>
      </w:pPr>
      <w:r>
        <w:rPr>
          <w:rFonts w:ascii="Times New Roman" w:hAnsi="Times New Roman" w:eastAsia="仿宋"/>
          <w:sz w:val="28"/>
          <w:szCs w:val="32"/>
          <w:highlight w:val="none"/>
        </w:rPr>
        <w:t>采购人名称：</w:t>
      </w:r>
      <w:r>
        <w:rPr>
          <w:rFonts w:ascii="Times New Roman" w:hAnsi="Times New Roman" w:eastAsia="仿宋"/>
          <w:sz w:val="28"/>
          <w:szCs w:val="32"/>
          <w:highlight w:val="none"/>
          <w:u w:val="dotted"/>
        </w:rPr>
        <w:t xml:space="preserve">                                         </w:t>
      </w:r>
    </w:p>
    <w:p w14:paraId="446DC707">
      <w:pPr>
        <w:adjustRightInd w:val="0"/>
        <w:snapToGrid w:val="0"/>
        <w:spacing w:line="510" w:lineRule="exact"/>
        <w:rPr>
          <w:rFonts w:ascii="Times New Roman" w:hAnsi="Times New Roman" w:eastAsia="仿宋"/>
          <w:sz w:val="28"/>
          <w:szCs w:val="32"/>
          <w:highlight w:val="none"/>
        </w:rPr>
      </w:pPr>
      <w:r>
        <w:rPr>
          <w:rFonts w:ascii="Times New Roman" w:hAnsi="Times New Roman" w:eastAsia="仿宋"/>
          <w:sz w:val="28"/>
          <w:szCs w:val="32"/>
          <w:highlight w:val="none"/>
        </w:rPr>
        <w:t>采购文件获取日期：</w:t>
      </w:r>
      <w:r>
        <w:rPr>
          <w:rFonts w:ascii="Times New Roman" w:hAnsi="Times New Roman" w:eastAsia="仿宋"/>
          <w:sz w:val="28"/>
          <w:szCs w:val="32"/>
          <w:highlight w:val="none"/>
          <w:u w:val="dotted"/>
        </w:rPr>
        <w:t xml:space="preserve">                                           </w:t>
      </w:r>
    </w:p>
    <w:p w14:paraId="5D1A3319">
      <w:pPr>
        <w:adjustRightInd w:val="0"/>
        <w:snapToGrid w:val="0"/>
        <w:spacing w:line="510" w:lineRule="exact"/>
        <w:rPr>
          <w:rFonts w:ascii="Times New Roman" w:hAnsi="Times New Roman" w:eastAsia="黑体"/>
          <w:bCs/>
          <w:sz w:val="28"/>
          <w:szCs w:val="32"/>
          <w:highlight w:val="none"/>
        </w:rPr>
      </w:pPr>
      <w:r>
        <w:rPr>
          <w:rFonts w:ascii="Times New Roman" w:hAnsi="Times New Roman" w:eastAsia="黑体"/>
          <w:bCs/>
          <w:sz w:val="28"/>
          <w:szCs w:val="32"/>
          <w:highlight w:val="none"/>
        </w:rPr>
        <w:t>三、质疑事项具体内容</w:t>
      </w:r>
    </w:p>
    <w:p w14:paraId="762171A1">
      <w:pPr>
        <w:adjustRightInd w:val="0"/>
        <w:snapToGrid w:val="0"/>
        <w:spacing w:line="510" w:lineRule="exact"/>
        <w:rPr>
          <w:rFonts w:ascii="Times New Roman" w:hAnsi="Times New Roman" w:eastAsia="仿宋"/>
          <w:sz w:val="28"/>
          <w:szCs w:val="32"/>
          <w:highlight w:val="none"/>
          <w:u w:val="dotted"/>
        </w:rPr>
      </w:pPr>
      <w:r>
        <w:rPr>
          <w:rFonts w:ascii="Times New Roman" w:hAnsi="Times New Roman" w:eastAsia="仿宋"/>
          <w:sz w:val="28"/>
          <w:szCs w:val="32"/>
          <w:highlight w:val="none"/>
        </w:rPr>
        <w:t>质疑事项1：</w:t>
      </w:r>
      <w:r>
        <w:rPr>
          <w:rFonts w:ascii="Times New Roman" w:hAnsi="Times New Roman" w:eastAsia="仿宋"/>
          <w:sz w:val="28"/>
          <w:szCs w:val="32"/>
          <w:highlight w:val="none"/>
          <w:u w:val="dotted"/>
        </w:rPr>
        <w:t xml:space="preserve">                                         </w:t>
      </w:r>
    </w:p>
    <w:p w14:paraId="6AE0C669">
      <w:pPr>
        <w:adjustRightInd w:val="0"/>
        <w:snapToGrid w:val="0"/>
        <w:spacing w:line="510" w:lineRule="exact"/>
        <w:rPr>
          <w:rFonts w:ascii="Times New Roman" w:hAnsi="Times New Roman" w:eastAsia="仿宋"/>
          <w:sz w:val="28"/>
          <w:szCs w:val="32"/>
          <w:highlight w:val="none"/>
          <w:u w:val="dotted"/>
        </w:rPr>
      </w:pPr>
      <w:r>
        <w:rPr>
          <w:rFonts w:ascii="Times New Roman" w:hAnsi="Times New Roman" w:eastAsia="仿宋"/>
          <w:sz w:val="28"/>
          <w:szCs w:val="32"/>
          <w:highlight w:val="none"/>
        </w:rPr>
        <w:t>事实依据：</w:t>
      </w:r>
      <w:r>
        <w:rPr>
          <w:rFonts w:ascii="Times New Roman" w:hAnsi="Times New Roman" w:eastAsia="仿宋"/>
          <w:sz w:val="28"/>
          <w:szCs w:val="32"/>
          <w:highlight w:val="none"/>
          <w:u w:val="dotted"/>
        </w:rPr>
        <w:t xml:space="preserve">                                          </w:t>
      </w:r>
    </w:p>
    <w:p w14:paraId="7A6B1CFE">
      <w:pPr>
        <w:adjustRightInd w:val="0"/>
        <w:snapToGrid w:val="0"/>
        <w:spacing w:line="510" w:lineRule="exact"/>
        <w:rPr>
          <w:rFonts w:ascii="Times New Roman" w:hAnsi="Times New Roman" w:eastAsia="仿宋"/>
          <w:sz w:val="28"/>
          <w:szCs w:val="32"/>
          <w:highlight w:val="none"/>
        </w:rPr>
      </w:pPr>
      <w:r>
        <w:rPr>
          <w:rFonts w:ascii="Times New Roman" w:hAnsi="Times New Roman" w:eastAsia="仿宋"/>
          <w:sz w:val="28"/>
          <w:szCs w:val="32"/>
          <w:highlight w:val="none"/>
          <w:u w:val="dotted"/>
        </w:rPr>
        <w:t xml:space="preserve">                                                       </w:t>
      </w:r>
    </w:p>
    <w:p w14:paraId="4A462755">
      <w:pPr>
        <w:adjustRightInd w:val="0"/>
        <w:snapToGrid w:val="0"/>
        <w:spacing w:line="510" w:lineRule="exact"/>
        <w:rPr>
          <w:rFonts w:ascii="Times New Roman" w:hAnsi="Times New Roman" w:eastAsia="仿宋"/>
          <w:sz w:val="28"/>
          <w:szCs w:val="32"/>
          <w:highlight w:val="none"/>
          <w:u w:val="dotted"/>
        </w:rPr>
      </w:pPr>
      <w:r>
        <w:rPr>
          <w:rFonts w:ascii="Times New Roman" w:hAnsi="Times New Roman" w:eastAsia="仿宋"/>
          <w:sz w:val="28"/>
          <w:szCs w:val="32"/>
          <w:highlight w:val="none"/>
        </w:rPr>
        <w:t>法律依据：</w:t>
      </w:r>
      <w:r>
        <w:rPr>
          <w:rFonts w:ascii="Times New Roman" w:hAnsi="Times New Roman" w:eastAsia="仿宋"/>
          <w:sz w:val="28"/>
          <w:szCs w:val="32"/>
          <w:highlight w:val="none"/>
          <w:u w:val="dotted"/>
        </w:rPr>
        <w:t xml:space="preserve">                                          </w:t>
      </w:r>
    </w:p>
    <w:p w14:paraId="2494AE3A">
      <w:pPr>
        <w:adjustRightInd w:val="0"/>
        <w:snapToGrid w:val="0"/>
        <w:spacing w:line="510" w:lineRule="exact"/>
        <w:rPr>
          <w:rFonts w:ascii="Times New Roman" w:hAnsi="Times New Roman" w:eastAsia="仿宋"/>
          <w:sz w:val="28"/>
          <w:szCs w:val="32"/>
          <w:highlight w:val="none"/>
          <w:u w:val="dotted"/>
        </w:rPr>
      </w:pPr>
      <w:r>
        <w:rPr>
          <w:rFonts w:ascii="Times New Roman" w:hAnsi="Times New Roman" w:eastAsia="仿宋"/>
          <w:sz w:val="28"/>
          <w:szCs w:val="32"/>
          <w:highlight w:val="none"/>
          <w:u w:val="dotted"/>
        </w:rPr>
        <w:t xml:space="preserve">                                                     </w:t>
      </w:r>
    </w:p>
    <w:p w14:paraId="02302AD9">
      <w:pPr>
        <w:adjustRightInd w:val="0"/>
        <w:snapToGrid w:val="0"/>
        <w:spacing w:line="510" w:lineRule="exact"/>
        <w:rPr>
          <w:rFonts w:ascii="Times New Roman" w:hAnsi="Times New Roman" w:eastAsia="仿宋"/>
          <w:sz w:val="28"/>
          <w:szCs w:val="32"/>
          <w:highlight w:val="none"/>
          <w:u w:val="dotted"/>
        </w:rPr>
      </w:pPr>
      <w:r>
        <w:rPr>
          <w:rFonts w:ascii="Times New Roman" w:hAnsi="Times New Roman" w:eastAsia="仿宋"/>
          <w:sz w:val="28"/>
          <w:szCs w:val="32"/>
          <w:highlight w:val="none"/>
        </w:rPr>
        <w:t>质疑事项2</w:t>
      </w:r>
    </w:p>
    <w:p w14:paraId="241248FB">
      <w:pPr>
        <w:adjustRightInd w:val="0"/>
        <w:snapToGrid w:val="0"/>
        <w:spacing w:line="510" w:lineRule="exact"/>
        <w:rPr>
          <w:rFonts w:ascii="Times New Roman" w:hAnsi="Times New Roman" w:eastAsia="仿宋"/>
          <w:sz w:val="28"/>
          <w:szCs w:val="32"/>
          <w:highlight w:val="none"/>
        </w:rPr>
      </w:pPr>
      <w:r>
        <w:rPr>
          <w:rFonts w:ascii="Times New Roman" w:hAnsi="Times New Roman" w:eastAsia="仿宋"/>
          <w:sz w:val="28"/>
          <w:szCs w:val="32"/>
          <w:highlight w:val="none"/>
        </w:rPr>
        <w:t>……</w:t>
      </w:r>
    </w:p>
    <w:p w14:paraId="1A198657">
      <w:pPr>
        <w:adjustRightInd w:val="0"/>
        <w:snapToGrid w:val="0"/>
        <w:spacing w:line="510" w:lineRule="exact"/>
        <w:rPr>
          <w:rFonts w:ascii="Times New Roman" w:hAnsi="Times New Roman" w:eastAsia="黑体"/>
          <w:bCs/>
          <w:sz w:val="28"/>
          <w:szCs w:val="32"/>
          <w:highlight w:val="none"/>
        </w:rPr>
      </w:pPr>
      <w:r>
        <w:rPr>
          <w:rFonts w:ascii="Times New Roman" w:hAnsi="Times New Roman" w:eastAsia="黑体"/>
          <w:bCs/>
          <w:sz w:val="28"/>
          <w:szCs w:val="32"/>
          <w:highlight w:val="none"/>
        </w:rPr>
        <w:t>四、与质疑事项相关的质疑请求</w:t>
      </w:r>
    </w:p>
    <w:p w14:paraId="411B91CA">
      <w:pPr>
        <w:adjustRightInd w:val="0"/>
        <w:snapToGrid w:val="0"/>
        <w:spacing w:line="510" w:lineRule="exact"/>
        <w:rPr>
          <w:rFonts w:ascii="Times New Roman" w:hAnsi="Times New Roman" w:eastAsia="仿宋"/>
          <w:sz w:val="28"/>
          <w:szCs w:val="32"/>
          <w:highlight w:val="none"/>
          <w:u w:val="dotted"/>
        </w:rPr>
      </w:pPr>
      <w:r>
        <w:rPr>
          <w:rFonts w:ascii="Times New Roman" w:hAnsi="Times New Roman" w:eastAsia="仿宋"/>
          <w:sz w:val="28"/>
          <w:szCs w:val="32"/>
          <w:highlight w:val="none"/>
        </w:rPr>
        <w:t>请求：</w:t>
      </w:r>
      <w:r>
        <w:rPr>
          <w:rFonts w:ascii="Times New Roman" w:hAnsi="Times New Roman" w:eastAsia="仿宋"/>
          <w:sz w:val="28"/>
          <w:szCs w:val="32"/>
          <w:highlight w:val="none"/>
          <w:u w:val="dotted"/>
        </w:rPr>
        <w:t xml:space="preserve">                                               </w:t>
      </w:r>
    </w:p>
    <w:p w14:paraId="5946C886">
      <w:pPr>
        <w:spacing w:line="510" w:lineRule="exact"/>
        <w:rPr>
          <w:rFonts w:ascii="Times New Roman" w:hAnsi="Times New Roman" w:eastAsia="仿宋_GB2312"/>
          <w:sz w:val="28"/>
          <w:szCs w:val="30"/>
          <w:highlight w:val="none"/>
        </w:rPr>
      </w:pPr>
      <w:r>
        <w:rPr>
          <w:rFonts w:ascii="Times New Roman" w:hAnsi="Times New Roman" w:eastAsia="仿宋_GB2312"/>
          <w:sz w:val="28"/>
          <w:szCs w:val="30"/>
          <w:highlight w:val="none"/>
        </w:rPr>
        <w:t xml:space="preserve">签字(签章)：                   公章：                      </w:t>
      </w:r>
    </w:p>
    <w:p w14:paraId="5E2B6A52">
      <w:pPr>
        <w:spacing w:line="510" w:lineRule="exact"/>
        <w:rPr>
          <w:rFonts w:ascii="Times New Roman" w:hAnsi="Times New Roman" w:eastAsia="仿宋_GB2312"/>
          <w:sz w:val="28"/>
          <w:szCs w:val="30"/>
          <w:highlight w:val="none"/>
        </w:rPr>
      </w:pPr>
      <w:r>
        <w:rPr>
          <w:rFonts w:ascii="Times New Roman" w:hAnsi="Times New Roman" w:eastAsia="仿宋_GB2312"/>
          <w:sz w:val="28"/>
          <w:szCs w:val="30"/>
          <w:highlight w:val="none"/>
        </w:rPr>
        <w:t xml:space="preserve">日期：    </w:t>
      </w:r>
    </w:p>
    <w:p w14:paraId="6506E216">
      <w:pPr>
        <w:rPr>
          <w:rFonts w:ascii="Times New Roman" w:hAnsi="Times New Roman" w:eastAsia="黑体"/>
          <w:b/>
          <w:sz w:val="32"/>
          <w:szCs w:val="32"/>
          <w:highlight w:val="none"/>
        </w:rPr>
      </w:pPr>
      <w:r>
        <w:rPr>
          <w:rFonts w:ascii="Times New Roman" w:hAnsi="Times New Roman" w:eastAsia="黑体"/>
          <w:b/>
          <w:sz w:val="32"/>
          <w:szCs w:val="32"/>
          <w:highlight w:val="none"/>
        </w:rPr>
        <w:t>质疑函制作说明：</w:t>
      </w:r>
    </w:p>
    <w:p w14:paraId="1C65DCFD">
      <w:pPr>
        <w:widowControl/>
        <w:ind w:firstLine="640" w:firstLineChars="200"/>
        <w:jc w:val="left"/>
        <w:rPr>
          <w:rFonts w:ascii="Times New Roman" w:hAnsi="Times New Roman" w:eastAsia="仿宋_GB2312"/>
          <w:sz w:val="32"/>
          <w:szCs w:val="32"/>
          <w:highlight w:val="none"/>
        </w:rPr>
      </w:pPr>
      <w:r>
        <w:rPr>
          <w:rFonts w:ascii="Times New Roman" w:hAnsi="Times New Roman" w:eastAsia="仿宋_GB2312"/>
          <w:sz w:val="32"/>
          <w:szCs w:val="32"/>
          <w:highlight w:val="none"/>
        </w:rPr>
        <w:t>1.供应商提出质疑时，应提交质疑函和必要的证明材料。</w:t>
      </w:r>
    </w:p>
    <w:p w14:paraId="7515F861">
      <w:pPr>
        <w:widowControl/>
        <w:ind w:firstLine="640" w:firstLineChars="200"/>
        <w:jc w:val="left"/>
        <w:rPr>
          <w:rFonts w:ascii="Times New Roman" w:hAnsi="Times New Roman" w:eastAsia="仿宋_GB2312"/>
          <w:sz w:val="32"/>
          <w:szCs w:val="32"/>
          <w:highlight w:val="none"/>
        </w:rPr>
      </w:pPr>
      <w:r>
        <w:rPr>
          <w:rFonts w:ascii="Times New Roman" w:hAnsi="Times New Roman" w:eastAsia="仿宋_GB2312"/>
          <w:sz w:val="32"/>
          <w:szCs w:val="32"/>
          <w:highlight w:val="none"/>
        </w:rPr>
        <w:t>2.质疑供应商若委托代理人进行质疑的，质疑函应按要求列明“授权代表”的有关内容，并在附件中提交由质疑</w:t>
      </w:r>
      <w:r>
        <w:rPr>
          <w:rFonts w:ascii="Times New Roman" w:hAnsi="Times New Roman" w:eastAsia="仿宋_GB2312"/>
          <w:kern w:val="0"/>
          <w:sz w:val="32"/>
          <w:szCs w:val="32"/>
          <w:highlight w:val="none"/>
        </w:rPr>
        <w:t>供应商签署的授权委托书。授权委托书应载明代理人的姓名或者名称、代理事项、具体权限、期限和相关事项。</w:t>
      </w:r>
    </w:p>
    <w:p w14:paraId="5B7B4FC3">
      <w:pPr>
        <w:widowControl/>
        <w:ind w:firstLine="640" w:firstLineChars="200"/>
        <w:jc w:val="left"/>
        <w:rPr>
          <w:rFonts w:ascii="Times New Roman" w:hAnsi="Times New Roman" w:eastAsia="仿宋_GB2312"/>
          <w:sz w:val="32"/>
          <w:szCs w:val="32"/>
          <w:highlight w:val="none"/>
        </w:rPr>
      </w:pPr>
      <w:r>
        <w:rPr>
          <w:rFonts w:ascii="Times New Roman" w:hAnsi="Times New Roman" w:eastAsia="仿宋_GB2312"/>
          <w:sz w:val="32"/>
          <w:szCs w:val="32"/>
          <w:highlight w:val="none"/>
        </w:rPr>
        <w:t>3.质疑供应商若对项目的某一分包进行质疑，质疑函中应列明具体分包号。</w:t>
      </w:r>
    </w:p>
    <w:p w14:paraId="41723452">
      <w:pPr>
        <w:widowControl/>
        <w:ind w:firstLine="640" w:firstLineChars="200"/>
        <w:jc w:val="left"/>
        <w:rPr>
          <w:rFonts w:ascii="Times New Roman" w:hAnsi="Times New Roman" w:eastAsia="仿宋_GB2312"/>
          <w:sz w:val="32"/>
          <w:szCs w:val="32"/>
          <w:highlight w:val="none"/>
        </w:rPr>
      </w:pPr>
      <w:r>
        <w:rPr>
          <w:rFonts w:ascii="Times New Roman" w:hAnsi="Times New Roman" w:eastAsia="仿宋_GB2312"/>
          <w:sz w:val="32"/>
          <w:szCs w:val="32"/>
          <w:highlight w:val="none"/>
        </w:rPr>
        <w:t>4.质疑函的质疑事项应具体、明确，并有必要的事实依据和法律依据。</w:t>
      </w:r>
    </w:p>
    <w:p w14:paraId="64947857">
      <w:pPr>
        <w:widowControl/>
        <w:ind w:firstLine="640" w:firstLineChars="200"/>
        <w:jc w:val="left"/>
        <w:rPr>
          <w:rFonts w:ascii="Times New Roman" w:hAnsi="Times New Roman" w:eastAsia="仿宋_GB2312"/>
          <w:sz w:val="32"/>
          <w:szCs w:val="32"/>
          <w:highlight w:val="none"/>
        </w:rPr>
      </w:pPr>
      <w:r>
        <w:rPr>
          <w:rFonts w:ascii="Times New Roman" w:hAnsi="Times New Roman" w:eastAsia="仿宋_GB2312"/>
          <w:sz w:val="32"/>
          <w:szCs w:val="32"/>
          <w:highlight w:val="none"/>
        </w:rPr>
        <w:t>5.质疑函的质疑请求应与质疑事项相关。</w:t>
      </w:r>
    </w:p>
    <w:p w14:paraId="3C4D807E">
      <w:pPr>
        <w:widowControl/>
        <w:ind w:firstLine="640" w:firstLineChars="200"/>
        <w:jc w:val="left"/>
        <w:rPr>
          <w:rFonts w:ascii="Times New Roman" w:hAnsi="Times New Roman" w:eastAsia="仿宋_GB2312"/>
          <w:sz w:val="32"/>
          <w:szCs w:val="32"/>
          <w:highlight w:val="none"/>
        </w:rPr>
      </w:pPr>
      <w:r>
        <w:rPr>
          <w:rFonts w:ascii="Times New Roman" w:hAnsi="Times New Roman" w:eastAsia="仿宋_GB2312"/>
          <w:sz w:val="32"/>
          <w:szCs w:val="32"/>
          <w:highlight w:val="none"/>
        </w:rPr>
        <w:t>6.质疑供应商为自然人的，质疑函应由本人签字；质疑供应商为法人或者其他组织的，质疑函应由法定代表人、主要负责人，或者其授权代表签字或者盖章，并加盖公章。</w:t>
      </w:r>
    </w:p>
    <w:p w14:paraId="45A6E416">
      <w:pPr>
        <w:widowControl/>
        <w:ind w:firstLine="600" w:firstLineChars="200"/>
        <w:jc w:val="left"/>
        <w:rPr>
          <w:rFonts w:ascii="Times New Roman" w:hAnsi="Times New Roman" w:eastAsia="仿宋_GB2312"/>
          <w:sz w:val="30"/>
          <w:szCs w:val="30"/>
          <w:highlight w:val="none"/>
        </w:rPr>
      </w:pPr>
    </w:p>
    <w:p w14:paraId="06F6A078">
      <w:pPr>
        <w:pStyle w:val="81"/>
        <w:spacing w:after="156" w:afterLines="50" w:line="360" w:lineRule="auto"/>
        <w:ind w:left="0" w:firstLine="0"/>
        <w:rPr>
          <w:rFonts w:ascii="Times New Roman" w:hAnsi="Times New Roman" w:eastAsia="宋体"/>
          <w:highlight w:val="none"/>
        </w:rPr>
      </w:pPr>
    </w:p>
    <w:p w14:paraId="77D0D900">
      <w:pPr>
        <w:jc w:val="center"/>
        <w:rPr>
          <w:rFonts w:ascii="Times New Roman" w:hAnsi="Times New Roman"/>
          <w:sz w:val="24"/>
          <w:szCs w:val="24"/>
          <w:highlight w:val="none"/>
        </w:rPr>
      </w:pPr>
    </w:p>
    <w:p w14:paraId="76755C9D">
      <w:pPr>
        <w:pStyle w:val="81"/>
        <w:spacing w:after="156" w:afterLines="50" w:line="360" w:lineRule="auto"/>
        <w:ind w:left="0" w:firstLine="0"/>
        <w:rPr>
          <w:rFonts w:ascii="Times New Roman" w:hAnsi="Times New Roman"/>
          <w:highlight w:val="none"/>
        </w:rPr>
      </w:pPr>
    </w:p>
    <w:p w14:paraId="166E875D">
      <w:pPr>
        <w:pStyle w:val="81"/>
        <w:spacing w:after="156" w:afterLines="50" w:line="360" w:lineRule="auto"/>
        <w:ind w:left="0" w:firstLine="0"/>
        <w:rPr>
          <w:rFonts w:hint="eastAsia" w:eastAsia="宋体"/>
          <w:sz w:val="24"/>
          <w:szCs w:val="24"/>
          <w:highlight w:val="none"/>
        </w:rPr>
      </w:pPr>
    </w:p>
    <w:p w14:paraId="13EE2A1D">
      <w:pPr>
        <w:rPr>
          <w:rFonts w:ascii="Times New Roman" w:hAnsi="Times New Roman"/>
          <w:highlight w:val="none"/>
        </w:rPr>
      </w:pPr>
    </w:p>
    <w:p w14:paraId="7EB9E2F7">
      <w:pPr>
        <w:spacing w:line="440" w:lineRule="exact"/>
        <w:jc w:val="center"/>
        <w:rPr>
          <w:rFonts w:hint="eastAsia"/>
          <w:sz w:val="24"/>
          <w:szCs w:val="24"/>
          <w:highlight w:val="none"/>
        </w:rPr>
      </w:pPr>
    </w:p>
    <w:sectPr>
      <w:footerReference r:id="rId3" w:type="default"/>
      <w:type w:val="continuous"/>
      <w:pgSz w:w="11906" w:h="16838"/>
      <w:pgMar w:top="1440" w:right="1800" w:bottom="1440" w:left="1800" w:header="851" w:footer="992" w:gutter="0"/>
      <w:pgNumType w:start="0" w:chapStyle="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00"/>
    <w:family w:val="auto"/>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方正黑体_GBK">
    <w:altName w:val="微软雅黑"/>
    <w:panose1 w:val="03000509000000000000"/>
    <w:charset w:val="86"/>
    <w:family w:val="script"/>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3000509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0D7103">
    <w:pPr>
      <w:pStyle w:val="24"/>
      <w:jc w:val="center"/>
      <w:rPr>
        <w:rFonts w:eastAsia="仿宋_GB2312"/>
        <w:b/>
        <w:sz w:val="22"/>
        <w:szCs w:val="21"/>
      </w:rPr>
    </w:pPr>
    <w:r>
      <w:rPr>
        <w:rStyle w:val="40"/>
        <w:rFonts w:eastAsia="仿宋_GB2312"/>
        <w:b/>
        <w:sz w:val="20"/>
      </w:rPr>
      <w:t>第</w:t>
    </w:r>
    <w:r>
      <w:rPr>
        <w:rFonts w:eastAsia="仿宋"/>
        <w:b/>
        <w:sz w:val="22"/>
        <w:szCs w:val="21"/>
      </w:rPr>
      <w:fldChar w:fldCharType="begin"/>
    </w:r>
    <w:r>
      <w:rPr>
        <w:rStyle w:val="40"/>
        <w:rFonts w:eastAsia="仿宋"/>
        <w:b/>
        <w:sz w:val="20"/>
      </w:rPr>
      <w:instrText xml:space="preserve"> PAGE </w:instrText>
    </w:r>
    <w:r>
      <w:rPr>
        <w:rFonts w:eastAsia="仿宋"/>
        <w:b/>
        <w:sz w:val="22"/>
        <w:szCs w:val="21"/>
      </w:rPr>
      <w:fldChar w:fldCharType="separate"/>
    </w:r>
    <w:r>
      <w:rPr>
        <w:rStyle w:val="40"/>
        <w:rFonts w:eastAsia="仿宋"/>
        <w:b/>
        <w:sz w:val="20"/>
      </w:rPr>
      <w:t>30</w:t>
    </w:r>
    <w:r>
      <w:rPr>
        <w:rFonts w:eastAsia="仿宋"/>
        <w:b/>
        <w:sz w:val="22"/>
        <w:szCs w:val="21"/>
      </w:rPr>
      <w:fldChar w:fldCharType="end"/>
    </w:r>
    <w:r>
      <w:rPr>
        <w:rStyle w:val="40"/>
        <w:rFonts w:eastAsia="仿宋_GB2312"/>
        <w:b/>
        <w:sz w:val="20"/>
      </w:rPr>
      <w:t>页，共</w:t>
    </w:r>
    <w:r>
      <w:rPr>
        <w:b/>
        <w:sz w:val="21"/>
        <w:szCs w:val="21"/>
      </w:rPr>
      <w:fldChar w:fldCharType="begin"/>
    </w:r>
    <w:r>
      <w:rPr>
        <w:b/>
        <w:sz w:val="21"/>
        <w:szCs w:val="21"/>
      </w:rPr>
      <w:instrText xml:space="preserve"> </w:instrText>
    </w:r>
    <w:r>
      <w:rPr>
        <w:rFonts w:hint="eastAsia"/>
        <w:b/>
        <w:sz w:val="21"/>
        <w:szCs w:val="21"/>
      </w:rPr>
      <w:instrText xml:space="preserve">=</w:instrText>
    </w:r>
    <w:r>
      <w:rPr>
        <w:b/>
        <w:sz w:val="21"/>
        <w:szCs w:val="21"/>
      </w:rPr>
      <w:fldChar w:fldCharType="begin"/>
    </w:r>
    <w:r>
      <w:rPr>
        <w:b/>
        <w:sz w:val="21"/>
        <w:szCs w:val="21"/>
      </w:rPr>
      <w:instrText xml:space="preserve"> NUMPAGES </w:instrText>
    </w:r>
    <w:r>
      <w:rPr>
        <w:b/>
        <w:sz w:val="21"/>
        <w:szCs w:val="21"/>
      </w:rPr>
      <w:fldChar w:fldCharType="separate"/>
    </w:r>
    <w:r>
      <w:rPr>
        <w:b/>
        <w:sz w:val="21"/>
        <w:szCs w:val="21"/>
      </w:rPr>
      <w:instrText xml:space="preserve">64</w:instrText>
    </w:r>
    <w:r>
      <w:rPr>
        <w:b/>
        <w:sz w:val="21"/>
        <w:szCs w:val="21"/>
      </w:rPr>
      <w:fldChar w:fldCharType="end"/>
    </w:r>
    <w:r>
      <w:rPr>
        <w:rFonts w:hint="eastAsia"/>
        <w:b/>
        <w:sz w:val="21"/>
        <w:szCs w:val="21"/>
      </w:rPr>
      <w:instrText xml:space="preserve">-2</w:instrText>
    </w:r>
    <w:r>
      <w:rPr>
        <w:b/>
        <w:sz w:val="21"/>
        <w:szCs w:val="21"/>
      </w:rPr>
      <w:fldChar w:fldCharType="separate"/>
    </w:r>
    <w:r>
      <w:rPr>
        <w:b/>
        <w:sz w:val="21"/>
        <w:szCs w:val="21"/>
      </w:rPr>
      <w:t>62</w:t>
    </w:r>
    <w:r>
      <w:rPr>
        <w:b/>
        <w:sz w:val="21"/>
        <w:szCs w:val="21"/>
      </w:rPr>
      <w:fldChar w:fldCharType="end"/>
    </w:r>
    <w:r>
      <w:rPr>
        <w:rStyle w:val="40"/>
        <w:rFonts w:eastAsia="仿宋_GB2312"/>
        <w:b/>
        <w:sz w:val="20"/>
      </w:rPr>
      <w:t>页</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singleLevel"/>
    <w:tmpl w:val="00000003"/>
    <w:lvl w:ilvl="0" w:tentative="0">
      <w:start w:val="1"/>
      <w:numFmt w:val="upperLetter"/>
      <w:pStyle w:val="120"/>
      <w:lvlText w:val="附录%1."/>
      <w:lvlJc w:val="left"/>
      <w:pPr>
        <w:tabs>
          <w:tab w:val="left" w:pos="907"/>
        </w:tabs>
        <w:ind w:left="907" w:hanging="907"/>
      </w:pPr>
      <w:rPr>
        <w:rFonts w:hint="eastAsia"/>
      </w:rPr>
    </w:lvl>
  </w:abstractNum>
  <w:abstractNum w:abstractNumId="1">
    <w:nsid w:val="0000000A"/>
    <w:multiLevelType w:val="multilevel"/>
    <w:tmpl w:val="0000000A"/>
    <w:lvl w:ilvl="0" w:tentative="0">
      <w:start w:val="3"/>
      <w:numFmt w:val="japaneseCounting"/>
      <w:lvlText w:val="第%1章"/>
      <w:lvlJc w:val="left"/>
      <w:pPr>
        <w:tabs>
          <w:tab w:val="left" w:pos="1755"/>
        </w:tabs>
        <w:ind w:left="1755" w:hanging="1755"/>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D"/>
    <w:multiLevelType w:val="multilevel"/>
    <w:tmpl w:val="0000000D"/>
    <w:lvl w:ilvl="0" w:tentative="0">
      <w:start w:val="1"/>
      <w:numFmt w:val="decimal"/>
      <w:pStyle w:val="9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10"/>
    <w:multiLevelType w:val="multilevel"/>
    <w:tmpl w:val="00000010"/>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4">
    <w:nsid w:val="6A237F4C"/>
    <w:multiLevelType w:val="singleLevel"/>
    <w:tmpl w:val="6A237F4C"/>
    <w:lvl w:ilvl="0" w:tentative="0">
      <w:start w:val="7"/>
      <w:numFmt w:val="decimal"/>
      <w:suff w:val="nothing"/>
      <w:lvlText w:val="%1．"/>
      <w:lvlJc w:val="left"/>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U3NTIzMWQ3NTI2MWU5Njk1ZDMwMDAyOGQzMDUzZWEifQ=="/>
    <w:docVar w:name="KGWebUrl" w:val="http://jszfcg.jscz.gov.cn/jszc/gateWay/joffice/office?access_token=b477a5b1-d29a-42b7-8133-a23b1df3ccaa"/>
  </w:docVars>
  <w:rsids>
    <w:rsidRoot w:val="00172A27"/>
    <w:rsid w:val="00000E96"/>
    <w:rsid w:val="000017C8"/>
    <w:rsid w:val="00004735"/>
    <w:rsid w:val="00004929"/>
    <w:rsid w:val="00006F95"/>
    <w:rsid w:val="00010D55"/>
    <w:rsid w:val="00011312"/>
    <w:rsid w:val="000133EB"/>
    <w:rsid w:val="000158CE"/>
    <w:rsid w:val="000167CB"/>
    <w:rsid w:val="00023045"/>
    <w:rsid w:val="00025472"/>
    <w:rsid w:val="000276C5"/>
    <w:rsid w:val="000331C8"/>
    <w:rsid w:val="0003372B"/>
    <w:rsid w:val="00033C01"/>
    <w:rsid w:val="00034D6B"/>
    <w:rsid w:val="000371DF"/>
    <w:rsid w:val="00037B40"/>
    <w:rsid w:val="00041263"/>
    <w:rsid w:val="00041E67"/>
    <w:rsid w:val="0004211C"/>
    <w:rsid w:val="00050E7D"/>
    <w:rsid w:val="0005123F"/>
    <w:rsid w:val="000513A7"/>
    <w:rsid w:val="00052A8B"/>
    <w:rsid w:val="00054CF8"/>
    <w:rsid w:val="000600CB"/>
    <w:rsid w:val="00063089"/>
    <w:rsid w:val="000646D4"/>
    <w:rsid w:val="000648C5"/>
    <w:rsid w:val="00064F67"/>
    <w:rsid w:val="000656B6"/>
    <w:rsid w:val="0006731D"/>
    <w:rsid w:val="00072D40"/>
    <w:rsid w:val="00073EEB"/>
    <w:rsid w:val="000779E3"/>
    <w:rsid w:val="000805FB"/>
    <w:rsid w:val="00080E7B"/>
    <w:rsid w:val="00082437"/>
    <w:rsid w:val="00082541"/>
    <w:rsid w:val="00082904"/>
    <w:rsid w:val="00084799"/>
    <w:rsid w:val="00084985"/>
    <w:rsid w:val="00087FCA"/>
    <w:rsid w:val="000903A2"/>
    <w:rsid w:val="000933CB"/>
    <w:rsid w:val="0009587A"/>
    <w:rsid w:val="00095EC7"/>
    <w:rsid w:val="0009632A"/>
    <w:rsid w:val="00096F56"/>
    <w:rsid w:val="000976AC"/>
    <w:rsid w:val="00097979"/>
    <w:rsid w:val="000A0B77"/>
    <w:rsid w:val="000A19E6"/>
    <w:rsid w:val="000A1A09"/>
    <w:rsid w:val="000A303A"/>
    <w:rsid w:val="000A34AA"/>
    <w:rsid w:val="000A429A"/>
    <w:rsid w:val="000A76C3"/>
    <w:rsid w:val="000B10C3"/>
    <w:rsid w:val="000B1ABF"/>
    <w:rsid w:val="000B2D19"/>
    <w:rsid w:val="000B5390"/>
    <w:rsid w:val="000B59B7"/>
    <w:rsid w:val="000B7EF9"/>
    <w:rsid w:val="000C2464"/>
    <w:rsid w:val="000C366F"/>
    <w:rsid w:val="000C3CE3"/>
    <w:rsid w:val="000D0255"/>
    <w:rsid w:val="000D1277"/>
    <w:rsid w:val="000D189C"/>
    <w:rsid w:val="000D3742"/>
    <w:rsid w:val="000D3DEC"/>
    <w:rsid w:val="000D40D9"/>
    <w:rsid w:val="000D58B6"/>
    <w:rsid w:val="000D650A"/>
    <w:rsid w:val="000D6F24"/>
    <w:rsid w:val="000D7E81"/>
    <w:rsid w:val="000E4973"/>
    <w:rsid w:val="000E54EB"/>
    <w:rsid w:val="000E68D8"/>
    <w:rsid w:val="000E7401"/>
    <w:rsid w:val="000E74CF"/>
    <w:rsid w:val="000F06EB"/>
    <w:rsid w:val="000F34FC"/>
    <w:rsid w:val="000F4359"/>
    <w:rsid w:val="000F64EC"/>
    <w:rsid w:val="000F6B6E"/>
    <w:rsid w:val="0010164F"/>
    <w:rsid w:val="00105888"/>
    <w:rsid w:val="00105F0D"/>
    <w:rsid w:val="0010635C"/>
    <w:rsid w:val="00107753"/>
    <w:rsid w:val="00110FAE"/>
    <w:rsid w:val="00112188"/>
    <w:rsid w:val="00113236"/>
    <w:rsid w:val="0012294F"/>
    <w:rsid w:val="00123E6B"/>
    <w:rsid w:val="00125BEA"/>
    <w:rsid w:val="0013154F"/>
    <w:rsid w:val="001345F1"/>
    <w:rsid w:val="00134F63"/>
    <w:rsid w:val="001418BE"/>
    <w:rsid w:val="00142036"/>
    <w:rsid w:val="00144316"/>
    <w:rsid w:val="001476D9"/>
    <w:rsid w:val="001509AF"/>
    <w:rsid w:val="001522DE"/>
    <w:rsid w:val="0015361E"/>
    <w:rsid w:val="00155705"/>
    <w:rsid w:val="00161919"/>
    <w:rsid w:val="00167F6D"/>
    <w:rsid w:val="001704DA"/>
    <w:rsid w:val="00171465"/>
    <w:rsid w:val="00172A27"/>
    <w:rsid w:val="00173222"/>
    <w:rsid w:val="001757AD"/>
    <w:rsid w:val="00176ABB"/>
    <w:rsid w:val="00176F89"/>
    <w:rsid w:val="00183F44"/>
    <w:rsid w:val="00187F93"/>
    <w:rsid w:val="001957CD"/>
    <w:rsid w:val="00195B6F"/>
    <w:rsid w:val="00196D6D"/>
    <w:rsid w:val="00196F1B"/>
    <w:rsid w:val="001A1B42"/>
    <w:rsid w:val="001A4A24"/>
    <w:rsid w:val="001A5C77"/>
    <w:rsid w:val="001B0B54"/>
    <w:rsid w:val="001B1EC8"/>
    <w:rsid w:val="001B3446"/>
    <w:rsid w:val="001B3881"/>
    <w:rsid w:val="001C1358"/>
    <w:rsid w:val="001C1456"/>
    <w:rsid w:val="001C3630"/>
    <w:rsid w:val="001C5904"/>
    <w:rsid w:val="001C64D7"/>
    <w:rsid w:val="001C7849"/>
    <w:rsid w:val="001C7C6D"/>
    <w:rsid w:val="001D2CEE"/>
    <w:rsid w:val="001D48C8"/>
    <w:rsid w:val="001D69B5"/>
    <w:rsid w:val="001E1273"/>
    <w:rsid w:val="001E1A6C"/>
    <w:rsid w:val="001E300B"/>
    <w:rsid w:val="001E3C5C"/>
    <w:rsid w:val="001E4DD7"/>
    <w:rsid w:val="001E7297"/>
    <w:rsid w:val="001F4249"/>
    <w:rsid w:val="001F4D94"/>
    <w:rsid w:val="001F6E00"/>
    <w:rsid w:val="002010D3"/>
    <w:rsid w:val="00204685"/>
    <w:rsid w:val="00206B2C"/>
    <w:rsid w:val="0021046D"/>
    <w:rsid w:val="00213700"/>
    <w:rsid w:val="002170C6"/>
    <w:rsid w:val="00217542"/>
    <w:rsid w:val="0022009D"/>
    <w:rsid w:val="00224808"/>
    <w:rsid w:val="002262F9"/>
    <w:rsid w:val="0022674A"/>
    <w:rsid w:val="002310E1"/>
    <w:rsid w:val="00231159"/>
    <w:rsid w:val="00237B19"/>
    <w:rsid w:val="002401C6"/>
    <w:rsid w:val="00240FE7"/>
    <w:rsid w:val="00241804"/>
    <w:rsid w:val="002440AB"/>
    <w:rsid w:val="00245814"/>
    <w:rsid w:val="00246FE1"/>
    <w:rsid w:val="00250D72"/>
    <w:rsid w:val="0025135B"/>
    <w:rsid w:val="002520B0"/>
    <w:rsid w:val="0025613E"/>
    <w:rsid w:val="00257EC1"/>
    <w:rsid w:val="0026171B"/>
    <w:rsid w:val="00265D8E"/>
    <w:rsid w:val="00267981"/>
    <w:rsid w:val="00273D72"/>
    <w:rsid w:val="00275583"/>
    <w:rsid w:val="00276014"/>
    <w:rsid w:val="002807F0"/>
    <w:rsid w:val="00282A68"/>
    <w:rsid w:val="002837DE"/>
    <w:rsid w:val="00283935"/>
    <w:rsid w:val="002848BC"/>
    <w:rsid w:val="00287FC7"/>
    <w:rsid w:val="002934CA"/>
    <w:rsid w:val="00295327"/>
    <w:rsid w:val="002973E3"/>
    <w:rsid w:val="002A13DE"/>
    <w:rsid w:val="002A1A20"/>
    <w:rsid w:val="002A3D27"/>
    <w:rsid w:val="002A516E"/>
    <w:rsid w:val="002A51B9"/>
    <w:rsid w:val="002A5364"/>
    <w:rsid w:val="002A5946"/>
    <w:rsid w:val="002B0FD9"/>
    <w:rsid w:val="002B13F5"/>
    <w:rsid w:val="002B4725"/>
    <w:rsid w:val="002B4803"/>
    <w:rsid w:val="002B487B"/>
    <w:rsid w:val="002C1ADC"/>
    <w:rsid w:val="002C3517"/>
    <w:rsid w:val="002D2F04"/>
    <w:rsid w:val="002D31EE"/>
    <w:rsid w:val="002D38EC"/>
    <w:rsid w:val="002D468B"/>
    <w:rsid w:val="002D6C24"/>
    <w:rsid w:val="002D743E"/>
    <w:rsid w:val="002E1651"/>
    <w:rsid w:val="002E26C6"/>
    <w:rsid w:val="002E3EBC"/>
    <w:rsid w:val="002E4DD1"/>
    <w:rsid w:val="002E5B4A"/>
    <w:rsid w:val="002E5E83"/>
    <w:rsid w:val="002F1CC7"/>
    <w:rsid w:val="002F269B"/>
    <w:rsid w:val="002F4CEB"/>
    <w:rsid w:val="002F51EC"/>
    <w:rsid w:val="002F57B2"/>
    <w:rsid w:val="002F5884"/>
    <w:rsid w:val="002F7226"/>
    <w:rsid w:val="0030127B"/>
    <w:rsid w:val="00304902"/>
    <w:rsid w:val="00305A4B"/>
    <w:rsid w:val="0031157C"/>
    <w:rsid w:val="00314362"/>
    <w:rsid w:val="0032247C"/>
    <w:rsid w:val="00322AC7"/>
    <w:rsid w:val="003232DC"/>
    <w:rsid w:val="0032591C"/>
    <w:rsid w:val="00326301"/>
    <w:rsid w:val="00327A98"/>
    <w:rsid w:val="00332E4F"/>
    <w:rsid w:val="003339D5"/>
    <w:rsid w:val="00333ABC"/>
    <w:rsid w:val="00335ED8"/>
    <w:rsid w:val="00340831"/>
    <w:rsid w:val="003450C4"/>
    <w:rsid w:val="003456FB"/>
    <w:rsid w:val="003458FD"/>
    <w:rsid w:val="00346C7A"/>
    <w:rsid w:val="0034705A"/>
    <w:rsid w:val="00350A6D"/>
    <w:rsid w:val="00350E8D"/>
    <w:rsid w:val="00351748"/>
    <w:rsid w:val="00352154"/>
    <w:rsid w:val="003522E9"/>
    <w:rsid w:val="003540F4"/>
    <w:rsid w:val="0035565E"/>
    <w:rsid w:val="00360DDB"/>
    <w:rsid w:val="003614C7"/>
    <w:rsid w:val="00361E08"/>
    <w:rsid w:val="00362C5B"/>
    <w:rsid w:val="00365176"/>
    <w:rsid w:val="00367003"/>
    <w:rsid w:val="00367637"/>
    <w:rsid w:val="0037024E"/>
    <w:rsid w:val="00370E14"/>
    <w:rsid w:val="00373B1F"/>
    <w:rsid w:val="00374F20"/>
    <w:rsid w:val="0038102E"/>
    <w:rsid w:val="00384DF5"/>
    <w:rsid w:val="00387357"/>
    <w:rsid w:val="00391E6C"/>
    <w:rsid w:val="00393A92"/>
    <w:rsid w:val="00396E10"/>
    <w:rsid w:val="003A576A"/>
    <w:rsid w:val="003B12F2"/>
    <w:rsid w:val="003B2D70"/>
    <w:rsid w:val="003B333E"/>
    <w:rsid w:val="003B4486"/>
    <w:rsid w:val="003B7ED4"/>
    <w:rsid w:val="003C1DCA"/>
    <w:rsid w:val="003C2107"/>
    <w:rsid w:val="003C4E9D"/>
    <w:rsid w:val="003D10CB"/>
    <w:rsid w:val="003D3DBB"/>
    <w:rsid w:val="003D4C10"/>
    <w:rsid w:val="003D4DE4"/>
    <w:rsid w:val="003D4FBF"/>
    <w:rsid w:val="003D793D"/>
    <w:rsid w:val="003D79F4"/>
    <w:rsid w:val="003D7ACC"/>
    <w:rsid w:val="003D7E2F"/>
    <w:rsid w:val="003E0927"/>
    <w:rsid w:val="003E0C34"/>
    <w:rsid w:val="003E517E"/>
    <w:rsid w:val="003E5BEB"/>
    <w:rsid w:val="003E5ED6"/>
    <w:rsid w:val="003E64C5"/>
    <w:rsid w:val="003E6D60"/>
    <w:rsid w:val="003E6F18"/>
    <w:rsid w:val="003E7AA1"/>
    <w:rsid w:val="003F0175"/>
    <w:rsid w:val="003F11A2"/>
    <w:rsid w:val="003F16F9"/>
    <w:rsid w:val="003F3479"/>
    <w:rsid w:val="003F4702"/>
    <w:rsid w:val="00400DB7"/>
    <w:rsid w:val="00401711"/>
    <w:rsid w:val="004035E7"/>
    <w:rsid w:val="00404563"/>
    <w:rsid w:val="004061E7"/>
    <w:rsid w:val="00407653"/>
    <w:rsid w:val="00410DF6"/>
    <w:rsid w:val="00411681"/>
    <w:rsid w:val="0041186F"/>
    <w:rsid w:val="0041276C"/>
    <w:rsid w:val="00413C17"/>
    <w:rsid w:val="00414A5B"/>
    <w:rsid w:val="00414A9F"/>
    <w:rsid w:val="0042442F"/>
    <w:rsid w:val="00430A2E"/>
    <w:rsid w:val="004331E0"/>
    <w:rsid w:val="004341A4"/>
    <w:rsid w:val="004359DC"/>
    <w:rsid w:val="004442D9"/>
    <w:rsid w:val="00444522"/>
    <w:rsid w:val="004455DF"/>
    <w:rsid w:val="00452488"/>
    <w:rsid w:val="00454719"/>
    <w:rsid w:val="004607B3"/>
    <w:rsid w:val="00461D65"/>
    <w:rsid w:val="0046324B"/>
    <w:rsid w:val="00463864"/>
    <w:rsid w:val="004651A0"/>
    <w:rsid w:val="004665ED"/>
    <w:rsid w:val="00466AD0"/>
    <w:rsid w:val="00473072"/>
    <w:rsid w:val="00474F94"/>
    <w:rsid w:val="00475895"/>
    <w:rsid w:val="004812AB"/>
    <w:rsid w:val="0048223B"/>
    <w:rsid w:val="004837A0"/>
    <w:rsid w:val="00483E7E"/>
    <w:rsid w:val="00484DA3"/>
    <w:rsid w:val="004852D7"/>
    <w:rsid w:val="004864B3"/>
    <w:rsid w:val="004870BF"/>
    <w:rsid w:val="00491071"/>
    <w:rsid w:val="004948EA"/>
    <w:rsid w:val="004A0372"/>
    <w:rsid w:val="004A0469"/>
    <w:rsid w:val="004A085E"/>
    <w:rsid w:val="004A0B0D"/>
    <w:rsid w:val="004A3647"/>
    <w:rsid w:val="004A5080"/>
    <w:rsid w:val="004A56B3"/>
    <w:rsid w:val="004A7A52"/>
    <w:rsid w:val="004B56A9"/>
    <w:rsid w:val="004B6A9B"/>
    <w:rsid w:val="004C163F"/>
    <w:rsid w:val="004C3AD5"/>
    <w:rsid w:val="004C55B1"/>
    <w:rsid w:val="004C6047"/>
    <w:rsid w:val="004C7974"/>
    <w:rsid w:val="004C7B80"/>
    <w:rsid w:val="004D2DE7"/>
    <w:rsid w:val="004D3625"/>
    <w:rsid w:val="004D6A33"/>
    <w:rsid w:val="004E0CCF"/>
    <w:rsid w:val="004E7CFD"/>
    <w:rsid w:val="004F1D96"/>
    <w:rsid w:val="004F3FA7"/>
    <w:rsid w:val="004F423A"/>
    <w:rsid w:val="004F603D"/>
    <w:rsid w:val="004F6489"/>
    <w:rsid w:val="004F6ECC"/>
    <w:rsid w:val="005016EB"/>
    <w:rsid w:val="005034AF"/>
    <w:rsid w:val="005075FB"/>
    <w:rsid w:val="00511DAE"/>
    <w:rsid w:val="0051355B"/>
    <w:rsid w:val="00515DF8"/>
    <w:rsid w:val="00516306"/>
    <w:rsid w:val="00517327"/>
    <w:rsid w:val="005202EF"/>
    <w:rsid w:val="00520F56"/>
    <w:rsid w:val="00521DA9"/>
    <w:rsid w:val="0052265A"/>
    <w:rsid w:val="005245BF"/>
    <w:rsid w:val="005246F4"/>
    <w:rsid w:val="00525ACC"/>
    <w:rsid w:val="005269C0"/>
    <w:rsid w:val="00526E50"/>
    <w:rsid w:val="00526F77"/>
    <w:rsid w:val="00531100"/>
    <w:rsid w:val="00532339"/>
    <w:rsid w:val="00532876"/>
    <w:rsid w:val="005353E1"/>
    <w:rsid w:val="00537CF1"/>
    <w:rsid w:val="00541D7D"/>
    <w:rsid w:val="005433DC"/>
    <w:rsid w:val="0054348E"/>
    <w:rsid w:val="00545165"/>
    <w:rsid w:val="00545278"/>
    <w:rsid w:val="00545536"/>
    <w:rsid w:val="00545F30"/>
    <w:rsid w:val="005513B2"/>
    <w:rsid w:val="0055187D"/>
    <w:rsid w:val="0055198E"/>
    <w:rsid w:val="00551FA7"/>
    <w:rsid w:val="005522E0"/>
    <w:rsid w:val="00553CFF"/>
    <w:rsid w:val="00554731"/>
    <w:rsid w:val="00560212"/>
    <w:rsid w:val="0056046B"/>
    <w:rsid w:val="00561FDC"/>
    <w:rsid w:val="0056537B"/>
    <w:rsid w:val="0056667F"/>
    <w:rsid w:val="00570327"/>
    <w:rsid w:val="0057119F"/>
    <w:rsid w:val="005729D5"/>
    <w:rsid w:val="005734BF"/>
    <w:rsid w:val="00573CC8"/>
    <w:rsid w:val="0057425A"/>
    <w:rsid w:val="00590B11"/>
    <w:rsid w:val="0059790D"/>
    <w:rsid w:val="00597D95"/>
    <w:rsid w:val="005A0BD3"/>
    <w:rsid w:val="005A36DD"/>
    <w:rsid w:val="005A3921"/>
    <w:rsid w:val="005A3AB6"/>
    <w:rsid w:val="005A3B0A"/>
    <w:rsid w:val="005A53DD"/>
    <w:rsid w:val="005A619E"/>
    <w:rsid w:val="005A7469"/>
    <w:rsid w:val="005B3910"/>
    <w:rsid w:val="005B3ED3"/>
    <w:rsid w:val="005B6D68"/>
    <w:rsid w:val="005B79C9"/>
    <w:rsid w:val="005C2B17"/>
    <w:rsid w:val="005C2B6F"/>
    <w:rsid w:val="005C2DFE"/>
    <w:rsid w:val="005C3999"/>
    <w:rsid w:val="005C435D"/>
    <w:rsid w:val="005C6274"/>
    <w:rsid w:val="005D3173"/>
    <w:rsid w:val="005D5534"/>
    <w:rsid w:val="005D5ED4"/>
    <w:rsid w:val="005E2BA4"/>
    <w:rsid w:val="005E4E05"/>
    <w:rsid w:val="005E6826"/>
    <w:rsid w:val="005E6B0C"/>
    <w:rsid w:val="005F4FCA"/>
    <w:rsid w:val="00600BE7"/>
    <w:rsid w:val="00600F13"/>
    <w:rsid w:val="00601263"/>
    <w:rsid w:val="00603162"/>
    <w:rsid w:val="006031B3"/>
    <w:rsid w:val="00603E38"/>
    <w:rsid w:val="00606222"/>
    <w:rsid w:val="006106E9"/>
    <w:rsid w:val="00612A7D"/>
    <w:rsid w:val="006141C5"/>
    <w:rsid w:val="0062369E"/>
    <w:rsid w:val="006236DD"/>
    <w:rsid w:val="00624277"/>
    <w:rsid w:val="00625614"/>
    <w:rsid w:val="006256F7"/>
    <w:rsid w:val="00631BED"/>
    <w:rsid w:val="00631F21"/>
    <w:rsid w:val="00635B28"/>
    <w:rsid w:val="00637AD5"/>
    <w:rsid w:val="00642C6B"/>
    <w:rsid w:val="006430E4"/>
    <w:rsid w:val="0064609F"/>
    <w:rsid w:val="006502BC"/>
    <w:rsid w:val="00650F4B"/>
    <w:rsid w:val="00650FCE"/>
    <w:rsid w:val="006520FF"/>
    <w:rsid w:val="00653F54"/>
    <w:rsid w:val="00655555"/>
    <w:rsid w:val="00661577"/>
    <w:rsid w:val="006636DB"/>
    <w:rsid w:val="006660CB"/>
    <w:rsid w:val="0066795B"/>
    <w:rsid w:val="00667FE3"/>
    <w:rsid w:val="00670202"/>
    <w:rsid w:val="00670750"/>
    <w:rsid w:val="00670EF5"/>
    <w:rsid w:val="006744D0"/>
    <w:rsid w:val="00676D74"/>
    <w:rsid w:val="006771B0"/>
    <w:rsid w:val="00681926"/>
    <w:rsid w:val="006826E0"/>
    <w:rsid w:val="006832B6"/>
    <w:rsid w:val="00683EE6"/>
    <w:rsid w:val="006931C2"/>
    <w:rsid w:val="00695A04"/>
    <w:rsid w:val="00695FBA"/>
    <w:rsid w:val="00696057"/>
    <w:rsid w:val="0069629E"/>
    <w:rsid w:val="00697C41"/>
    <w:rsid w:val="006A4909"/>
    <w:rsid w:val="006A6C35"/>
    <w:rsid w:val="006B1060"/>
    <w:rsid w:val="006B3893"/>
    <w:rsid w:val="006B7E4F"/>
    <w:rsid w:val="006C0430"/>
    <w:rsid w:val="006C0C84"/>
    <w:rsid w:val="006C2E8E"/>
    <w:rsid w:val="006C7AC7"/>
    <w:rsid w:val="006D03FA"/>
    <w:rsid w:val="006D22F5"/>
    <w:rsid w:val="006D26BF"/>
    <w:rsid w:val="006D5C1E"/>
    <w:rsid w:val="006D6ACA"/>
    <w:rsid w:val="006E13BA"/>
    <w:rsid w:val="006E7308"/>
    <w:rsid w:val="006F0681"/>
    <w:rsid w:val="006F0735"/>
    <w:rsid w:val="006F12FC"/>
    <w:rsid w:val="006F7E10"/>
    <w:rsid w:val="00700B4F"/>
    <w:rsid w:val="00702544"/>
    <w:rsid w:val="00710530"/>
    <w:rsid w:val="007111BB"/>
    <w:rsid w:val="007115B8"/>
    <w:rsid w:val="007151AA"/>
    <w:rsid w:val="00716A9D"/>
    <w:rsid w:val="00723C9A"/>
    <w:rsid w:val="00723E0C"/>
    <w:rsid w:val="00723F29"/>
    <w:rsid w:val="00723FFA"/>
    <w:rsid w:val="00726768"/>
    <w:rsid w:val="007302EF"/>
    <w:rsid w:val="007310CE"/>
    <w:rsid w:val="0073216B"/>
    <w:rsid w:val="0073332A"/>
    <w:rsid w:val="00734F67"/>
    <w:rsid w:val="007358AA"/>
    <w:rsid w:val="00735CA4"/>
    <w:rsid w:val="007362F6"/>
    <w:rsid w:val="00736C72"/>
    <w:rsid w:val="00737926"/>
    <w:rsid w:val="00740977"/>
    <w:rsid w:val="00744EFA"/>
    <w:rsid w:val="00751D90"/>
    <w:rsid w:val="007539F6"/>
    <w:rsid w:val="0075689F"/>
    <w:rsid w:val="00756D66"/>
    <w:rsid w:val="0076701C"/>
    <w:rsid w:val="00767B36"/>
    <w:rsid w:val="007706EE"/>
    <w:rsid w:val="00772FA5"/>
    <w:rsid w:val="0077390C"/>
    <w:rsid w:val="007745C6"/>
    <w:rsid w:val="0077463E"/>
    <w:rsid w:val="0077557B"/>
    <w:rsid w:val="00775CBB"/>
    <w:rsid w:val="007761BC"/>
    <w:rsid w:val="00791CAE"/>
    <w:rsid w:val="0079425F"/>
    <w:rsid w:val="007A0C06"/>
    <w:rsid w:val="007A21E2"/>
    <w:rsid w:val="007A25C4"/>
    <w:rsid w:val="007A32E1"/>
    <w:rsid w:val="007A43B1"/>
    <w:rsid w:val="007A46A8"/>
    <w:rsid w:val="007A743C"/>
    <w:rsid w:val="007B13F5"/>
    <w:rsid w:val="007B19CB"/>
    <w:rsid w:val="007B3187"/>
    <w:rsid w:val="007B4E87"/>
    <w:rsid w:val="007C4245"/>
    <w:rsid w:val="007C42DC"/>
    <w:rsid w:val="007D02F3"/>
    <w:rsid w:val="007D0396"/>
    <w:rsid w:val="007D5184"/>
    <w:rsid w:val="007D572F"/>
    <w:rsid w:val="007E1156"/>
    <w:rsid w:val="007E1A03"/>
    <w:rsid w:val="007E28AE"/>
    <w:rsid w:val="007E655F"/>
    <w:rsid w:val="007E68BA"/>
    <w:rsid w:val="007F3C2B"/>
    <w:rsid w:val="007F3F5E"/>
    <w:rsid w:val="007F5C90"/>
    <w:rsid w:val="007F73E6"/>
    <w:rsid w:val="00800144"/>
    <w:rsid w:val="00800BFD"/>
    <w:rsid w:val="00801CC1"/>
    <w:rsid w:val="008028FC"/>
    <w:rsid w:val="00802A05"/>
    <w:rsid w:val="008049F0"/>
    <w:rsid w:val="00805503"/>
    <w:rsid w:val="008066F9"/>
    <w:rsid w:val="008067F6"/>
    <w:rsid w:val="00811B16"/>
    <w:rsid w:val="008125CC"/>
    <w:rsid w:val="0081351B"/>
    <w:rsid w:val="00814C67"/>
    <w:rsid w:val="00815C00"/>
    <w:rsid w:val="0082092A"/>
    <w:rsid w:val="00820D31"/>
    <w:rsid w:val="0082415C"/>
    <w:rsid w:val="00824E6D"/>
    <w:rsid w:val="0082541A"/>
    <w:rsid w:val="008310AA"/>
    <w:rsid w:val="008336A8"/>
    <w:rsid w:val="00833A03"/>
    <w:rsid w:val="008348DC"/>
    <w:rsid w:val="00847A96"/>
    <w:rsid w:val="00847E5E"/>
    <w:rsid w:val="00850BE1"/>
    <w:rsid w:val="0085215B"/>
    <w:rsid w:val="00852BEB"/>
    <w:rsid w:val="00854007"/>
    <w:rsid w:val="0085445F"/>
    <w:rsid w:val="008568B9"/>
    <w:rsid w:val="008601B7"/>
    <w:rsid w:val="00860A27"/>
    <w:rsid w:val="00862310"/>
    <w:rsid w:val="0086558A"/>
    <w:rsid w:val="00865D13"/>
    <w:rsid w:val="00866EBD"/>
    <w:rsid w:val="00867A46"/>
    <w:rsid w:val="00870027"/>
    <w:rsid w:val="00870FCE"/>
    <w:rsid w:val="008743FC"/>
    <w:rsid w:val="0087462A"/>
    <w:rsid w:val="008750F1"/>
    <w:rsid w:val="00880682"/>
    <w:rsid w:val="00881CA7"/>
    <w:rsid w:val="00881DB3"/>
    <w:rsid w:val="008849F3"/>
    <w:rsid w:val="008858C8"/>
    <w:rsid w:val="00890D60"/>
    <w:rsid w:val="00891EBC"/>
    <w:rsid w:val="00893353"/>
    <w:rsid w:val="00893C93"/>
    <w:rsid w:val="00894536"/>
    <w:rsid w:val="00897726"/>
    <w:rsid w:val="008A1715"/>
    <w:rsid w:val="008A2004"/>
    <w:rsid w:val="008A3A73"/>
    <w:rsid w:val="008A63CA"/>
    <w:rsid w:val="008A67C7"/>
    <w:rsid w:val="008B009C"/>
    <w:rsid w:val="008B3A75"/>
    <w:rsid w:val="008C01FF"/>
    <w:rsid w:val="008C0872"/>
    <w:rsid w:val="008C0B91"/>
    <w:rsid w:val="008C26C4"/>
    <w:rsid w:val="008C7AD4"/>
    <w:rsid w:val="008D3912"/>
    <w:rsid w:val="008D45EC"/>
    <w:rsid w:val="008D7834"/>
    <w:rsid w:val="008E394E"/>
    <w:rsid w:val="008E4E05"/>
    <w:rsid w:val="008E5C1C"/>
    <w:rsid w:val="008F006C"/>
    <w:rsid w:val="008F1BCB"/>
    <w:rsid w:val="008F1E64"/>
    <w:rsid w:val="008F6706"/>
    <w:rsid w:val="00901754"/>
    <w:rsid w:val="009017C5"/>
    <w:rsid w:val="00901B88"/>
    <w:rsid w:val="00907618"/>
    <w:rsid w:val="0090796E"/>
    <w:rsid w:val="00914725"/>
    <w:rsid w:val="00915509"/>
    <w:rsid w:val="009159B0"/>
    <w:rsid w:val="00915C06"/>
    <w:rsid w:val="00921167"/>
    <w:rsid w:val="00921F01"/>
    <w:rsid w:val="009221D9"/>
    <w:rsid w:val="0092478E"/>
    <w:rsid w:val="0092555E"/>
    <w:rsid w:val="00927980"/>
    <w:rsid w:val="009308A1"/>
    <w:rsid w:val="0093255C"/>
    <w:rsid w:val="00935D24"/>
    <w:rsid w:val="00936E96"/>
    <w:rsid w:val="00937F63"/>
    <w:rsid w:val="00940377"/>
    <w:rsid w:val="00942422"/>
    <w:rsid w:val="009424C4"/>
    <w:rsid w:val="009432ED"/>
    <w:rsid w:val="009436C4"/>
    <w:rsid w:val="00944B07"/>
    <w:rsid w:val="00946B55"/>
    <w:rsid w:val="00951D78"/>
    <w:rsid w:val="00951E4E"/>
    <w:rsid w:val="0095209E"/>
    <w:rsid w:val="009562D3"/>
    <w:rsid w:val="009566A9"/>
    <w:rsid w:val="009566D6"/>
    <w:rsid w:val="009619AC"/>
    <w:rsid w:val="00963893"/>
    <w:rsid w:val="00964828"/>
    <w:rsid w:val="00964BD6"/>
    <w:rsid w:val="0096643B"/>
    <w:rsid w:val="00967D7E"/>
    <w:rsid w:val="009710DF"/>
    <w:rsid w:val="009712C5"/>
    <w:rsid w:val="00974EA5"/>
    <w:rsid w:val="009801B5"/>
    <w:rsid w:val="00981426"/>
    <w:rsid w:val="00983CE6"/>
    <w:rsid w:val="009868D3"/>
    <w:rsid w:val="0098785C"/>
    <w:rsid w:val="00993AD4"/>
    <w:rsid w:val="00993FCA"/>
    <w:rsid w:val="009A55EB"/>
    <w:rsid w:val="009A5DAC"/>
    <w:rsid w:val="009B02D1"/>
    <w:rsid w:val="009B16A3"/>
    <w:rsid w:val="009C003B"/>
    <w:rsid w:val="009C0D29"/>
    <w:rsid w:val="009C0E97"/>
    <w:rsid w:val="009C10EB"/>
    <w:rsid w:val="009C34AE"/>
    <w:rsid w:val="009C75BE"/>
    <w:rsid w:val="009D0EA5"/>
    <w:rsid w:val="009D1387"/>
    <w:rsid w:val="009D14A3"/>
    <w:rsid w:val="009D16AD"/>
    <w:rsid w:val="009D2DFE"/>
    <w:rsid w:val="009D5368"/>
    <w:rsid w:val="009E14D0"/>
    <w:rsid w:val="009E6C3D"/>
    <w:rsid w:val="009E6FDB"/>
    <w:rsid w:val="009F165C"/>
    <w:rsid w:val="009F1FEC"/>
    <w:rsid w:val="00A03D4C"/>
    <w:rsid w:val="00A050CF"/>
    <w:rsid w:val="00A10FBC"/>
    <w:rsid w:val="00A12820"/>
    <w:rsid w:val="00A15140"/>
    <w:rsid w:val="00A1526E"/>
    <w:rsid w:val="00A15A5A"/>
    <w:rsid w:val="00A1661D"/>
    <w:rsid w:val="00A2114E"/>
    <w:rsid w:val="00A211AB"/>
    <w:rsid w:val="00A219A3"/>
    <w:rsid w:val="00A2312D"/>
    <w:rsid w:val="00A23E7A"/>
    <w:rsid w:val="00A26386"/>
    <w:rsid w:val="00A303C2"/>
    <w:rsid w:val="00A30F7A"/>
    <w:rsid w:val="00A311E1"/>
    <w:rsid w:val="00A31317"/>
    <w:rsid w:val="00A32A02"/>
    <w:rsid w:val="00A32A8E"/>
    <w:rsid w:val="00A3489C"/>
    <w:rsid w:val="00A353BE"/>
    <w:rsid w:val="00A40483"/>
    <w:rsid w:val="00A413BB"/>
    <w:rsid w:val="00A43D37"/>
    <w:rsid w:val="00A53413"/>
    <w:rsid w:val="00A536F6"/>
    <w:rsid w:val="00A539AC"/>
    <w:rsid w:val="00A562E1"/>
    <w:rsid w:val="00A5738E"/>
    <w:rsid w:val="00A60FF4"/>
    <w:rsid w:val="00A62BAD"/>
    <w:rsid w:val="00A63FCD"/>
    <w:rsid w:val="00A643B1"/>
    <w:rsid w:val="00A66CBA"/>
    <w:rsid w:val="00A67DAA"/>
    <w:rsid w:val="00A67F0E"/>
    <w:rsid w:val="00A708E6"/>
    <w:rsid w:val="00A72865"/>
    <w:rsid w:val="00A72DDE"/>
    <w:rsid w:val="00A75B74"/>
    <w:rsid w:val="00A767AC"/>
    <w:rsid w:val="00A80850"/>
    <w:rsid w:val="00A81200"/>
    <w:rsid w:val="00A8190E"/>
    <w:rsid w:val="00A819C6"/>
    <w:rsid w:val="00A81E74"/>
    <w:rsid w:val="00A82260"/>
    <w:rsid w:val="00A83632"/>
    <w:rsid w:val="00A84397"/>
    <w:rsid w:val="00A85629"/>
    <w:rsid w:val="00A8771C"/>
    <w:rsid w:val="00A87880"/>
    <w:rsid w:val="00A90490"/>
    <w:rsid w:val="00A92760"/>
    <w:rsid w:val="00A95273"/>
    <w:rsid w:val="00A964DE"/>
    <w:rsid w:val="00AA0ADA"/>
    <w:rsid w:val="00AA7DDE"/>
    <w:rsid w:val="00AB0A4A"/>
    <w:rsid w:val="00AB1FA4"/>
    <w:rsid w:val="00AB3ED9"/>
    <w:rsid w:val="00AB4F88"/>
    <w:rsid w:val="00AB6328"/>
    <w:rsid w:val="00AC19C7"/>
    <w:rsid w:val="00AC3250"/>
    <w:rsid w:val="00AD19BC"/>
    <w:rsid w:val="00AD2B6A"/>
    <w:rsid w:val="00AD3E2C"/>
    <w:rsid w:val="00AD4839"/>
    <w:rsid w:val="00AD6EDA"/>
    <w:rsid w:val="00AE37FC"/>
    <w:rsid w:val="00AE4CA6"/>
    <w:rsid w:val="00AE761D"/>
    <w:rsid w:val="00AF1715"/>
    <w:rsid w:val="00AF312E"/>
    <w:rsid w:val="00AF3DE5"/>
    <w:rsid w:val="00AF4410"/>
    <w:rsid w:val="00B0166B"/>
    <w:rsid w:val="00B05F69"/>
    <w:rsid w:val="00B07FB5"/>
    <w:rsid w:val="00B10230"/>
    <w:rsid w:val="00B10D68"/>
    <w:rsid w:val="00B120AB"/>
    <w:rsid w:val="00B21008"/>
    <w:rsid w:val="00B212D0"/>
    <w:rsid w:val="00B249BC"/>
    <w:rsid w:val="00B31A8F"/>
    <w:rsid w:val="00B340B8"/>
    <w:rsid w:val="00B36AD7"/>
    <w:rsid w:val="00B420C8"/>
    <w:rsid w:val="00B44D21"/>
    <w:rsid w:val="00B462AA"/>
    <w:rsid w:val="00B46AC4"/>
    <w:rsid w:val="00B47C9E"/>
    <w:rsid w:val="00B47EE0"/>
    <w:rsid w:val="00B508C3"/>
    <w:rsid w:val="00B50971"/>
    <w:rsid w:val="00B535EF"/>
    <w:rsid w:val="00B53652"/>
    <w:rsid w:val="00B57F0D"/>
    <w:rsid w:val="00B61E74"/>
    <w:rsid w:val="00B61EAC"/>
    <w:rsid w:val="00B65AE3"/>
    <w:rsid w:val="00B66C2C"/>
    <w:rsid w:val="00B67078"/>
    <w:rsid w:val="00B67AD9"/>
    <w:rsid w:val="00B712CF"/>
    <w:rsid w:val="00B7386E"/>
    <w:rsid w:val="00B73F48"/>
    <w:rsid w:val="00B7466C"/>
    <w:rsid w:val="00B76BB3"/>
    <w:rsid w:val="00B77100"/>
    <w:rsid w:val="00B77EAA"/>
    <w:rsid w:val="00B810D3"/>
    <w:rsid w:val="00B83C61"/>
    <w:rsid w:val="00B840BC"/>
    <w:rsid w:val="00B86E93"/>
    <w:rsid w:val="00B87533"/>
    <w:rsid w:val="00B905CE"/>
    <w:rsid w:val="00B90FDC"/>
    <w:rsid w:val="00B91E2F"/>
    <w:rsid w:val="00B96758"/>
    <w:rsid w:val="00B96922"/>
    <w:rsid w:val="00B97575"/>
    <w:rsid w:val="00BA3FAE"/>
    <w:rsid w:val="00BA5007"/>
    <w:rsid w:val="00BA516A"/>
    <w:rsid w:val="00BA5CE5"/>
    <w:rsid w:val="00BB0AAE"/>
    <w:rsid w:val="00BB1BF7"/>
    <w:rsid w:val="00BB2E60"/>
    <w:rsid w:val="00BB4516"/>
    <w:rsid w:val="00BB55C7"/>
    <w:rsid w:val="00BB6FC1"/>
    <w:rsid w:val="00BB75CF"/>
    <w:rsid w:val="00BB76A6"/>
    <w:rsid w:val="00BC0ACE"/>
    <w:rsid w:val="00BC49ED"/>
    <w:rsid w:val="00BC4E2B"/>
    <w:rsid w:val="00BC5895"/>
    <w:rsid w:val="00BC5A11"/>
    <w:rsid w:val="00BC5C1B"/>
    <w:rsid w:val="00BC6838"/>
    <w:rsid w:val="00BC6F1A"/>
    <w:rsid w:val="00BD17FC"/>
    <w:rsid w:val="00BD199E"/>
    <w:rsid w:val="00BD2D18"/>
    <w:rsid w:val="00BD40D7"/>
    <w:rsid w:val="00BD4213"/>
    <w:rsid w:val="00BD45A9"/>
    <w:rsid w:val="00BD4E7B"/>
    <w:rsid w:val="00BD5BCF"/>
    <w:rsid w:val="00BD659B"/>
    <w:rsid w:val="00BD7E3D"/>
    <w:rsid w:val="00BE23E3"/>
    <w:rsid w:val="00BE2F82"/>
    <w:rsid w:val="00BE3C26"/>
    <w:rsid w:val="00BE6A22"/>
    <w:rsid w:val="00BF0B58"/>
    <w:rsid w:val="00BF1220"/>
    <w:rsid w:val="00BF3422"/>
    <w:rsid w:val="00BF3A7A"/>
    <w:rsid w:val="00BF46B0"/>
    <w:rsid w:val="00BF5279"/>
    <w:rsid w:val="00C011F9"/>
    <w:rsid w:val="00C012F0"/>
    <w:rsid w:val="00C02BA2"/>
    <w:rsid w:val="00C04520"/>
    <w:rsid w:val="00C057AE"/>
    <w:rsid w:val="00C0612D"/>
    <w:rsid w:val="00C06174"/>
    <w:rsid w:val="00C118AB"/>
    <w:rsid w:val="00C1231C"/>
    <w:rsid w:val="00C1429D"/>
    <w:rsid w:val="00C14CDC"/>
    <w:rsid w:val="00C14F00"/>
    <w:rsid w:val="00C17174"/>
    <w:rsid w:val="00C20B00"/>
    <w:rsid w:val="00C20B37"/>
    <w:rsid w:val="00C25DD7"/>
    <w:rsid w:val="00C316E8"/>
    <w:rsid w:val="00C319F0"/>
    <w:rsid w:val="00C32A87"/>
    <w:rsid w:val="00C350F0"/>
    <w:rsid w:val="00C3514B"/>
    <w:rsid w:val="00C35939"/>
    <w:rsid w:val="00C36BDE"/>
    <w:rsid w:val="00C36CDC"/>
    <w:rsid w:val="00C4142A"/>
    <w:rsid w:val="00C417AE"/>
    <w:rsid w:val="00C4795E"/>
    <w:rsid w:val="00C515DD"/>
    <w:rsid w:val="00C57261"/>
    <w:rsid w:val="00C60EFE"/>
    <w:rsid w:val="00C61919"/>
    <w:rsid w:val="00C61992"/>
    <w:rsid w:val="00C61A0A"/>
    <w:rsid w:val="00C61D9C"/>
    <w:rsid w:val="00C63710"/>
    <w:rsid w:val="00C70713"/>
    <w:rsid w:val="00C72AC8"/>
    <w:rsid w:val="00C73C97"/>
    <w:rsid w:val="00C747C3"/>
    <w:rsid w:val="00C75D8B"/>
    <w:rsid w:val="00C77766"/>
    <w:rsid w:val="00C830E3"/>
    <w:rsid w:val="00C84DEF"/>
    <w:rsid w:val="00C87A56"/>
    <w:rsid w:val="00C95197"/>
    <w:rsid w:val="00CA0218"/>
    <w:rsid w:val="00CA4594"/>
    <w:rsid w:val="00CA5BB6"/>
    <w:rsid w:val="00CB0E0F"/>
    <w:rsid w:val="00CC1D66"/>
    <w:rsid w:val="00CC2FE1"/>
    <w:rsid w:val="00CC45B3"/>
    <w:rsid w:val="00CC7120"/>
    <w:rsid w:val="00CD0C7C"/>
    <w:rsid w:val="00CD1F56"/>
    <w:rsid w:val="00CD3C76"/>
    <w:rsid w:val="00CD482E"/>
    <w:rsid w:val="00CD60AC"/>
    <w:rsid w:val="00CD78DE"/>
    <w:rsid w:val="00CE213C"/>
    <w:rsid w:val="00CE502F"/>
    <w:rsid w:val="00CE5408"/>
    <w:rsid w:val="00CE57E6"/>
    <w:rsid w:val="00CE5C0D"/>
    <w:rsid w:val="00CE6059"/>
    <w:rsid w:val="00CE6ACD"/>
    <w:rsid w:val="00CF2687"/>
    <w:rsid w:val="00CF7D3C"/>
    <w:rsid w:val="00D000B5"/>
    <w:rsid w:val="00D02200"/>
    <w:rsid w:val="00D02503"/>
    <w:rsid w:val="00D02E25"/>
    <w:rsid w:val="00D04CB4"/>
    <w:rsid w:val="00D05CEB"/>
    <w:rsid w:val="00D0792F"/>
    <w:rsid w:val="00D07A0F"/>
    <w:rsid w:val="00D10347"/>
    <w:rsid w:val="00D11041"/>
    <w:rsid w:val="00D146A6"/>
    <w:rsid w:val="00D172EF"/>
    <w:rsid w:val="00D17536"/>
    <w:rsid w:val="00D17967"/>
    <w:rsid w:val="00D2264F"/>
    <w:rsid w:val="00D25B89"/>
    <w:rsid w:val="00D263AB"/>
    <w:rsid w:val="00D302AD"/>
    <w:rsid w:val="00D31019"/>
    <w:rsid w:val="00D31525"/>
    <w:rsid w:val="00D33721"/>
    <w:rsid w:val="00D4034E"/>
    <w:rsid w:val="00D408C5"/>
    <w:rsid w:val="00D41C8A"/>
    <w:rsid w:val="00D434F9"/>
    <w:rsid w:val="00D44850"/>
    <w:rsid w:val="00D459DC"/>
    <w:rsid w:val="00D45FEE"/>
    <w:rsid w:val="00D467B8"/>
    <w:rsid w:val="00D46871"/>
    <w:rsid w:val="00D469F6"/>
    <w:rsid w:val="00D558A6"/>
    <w:rsid w:val="00D55F54"/>
    <w:rsid w:val="00D5659B"/>
    <w:rsid w:val="00D613D6"/>
    <w:rsid w:val="00D6628F"/>
    <w:rsid w:val="00D6741F"/>
    <w:rsid w:val="00D72EC7"/>
    <w:rsid w:val="00D81F76"/>
    <w:rsid w:val="00D84ECB"/>
    <w:rsid w:val="00D856E1"/>
    <w:rsid w:val="00D861BE"/>
    <w:rsid w:val="00D91025"/>
    <w:rsid w:val="00D96690"/>
    <w:rsid w:val="00DA3124"/>
    <w:rsid w:val="00DA5B4F"/>
    <w:rsid w:val="00DA6D60"/>
    <w:rsid w:val="00DA73EA"/>
    <w:rsid w:val="00DB3A95"/>
    <w:rsid w:val="00DB6362"/>
    <w:rsid w:val="00DC07F2"/>
    <w:rsid w:val="00DC25BC"/>
    <w:rsid w:val="00DC2A67"/>
    <w:rsid w:val="00DD0025"/>
    <w:rsid w:val="00DD1AC4"/>
    <w:rsid w:val="00DD44FD"/>
    <w:rsid w:val="00DD65F6"/>
    <w:rsid w:val="00DE0134"/>
    <w:rsid w:val="00DE4DEE"/>
    <w:rsid w:val="00DE5F23"/>
    <w:rsid w:val="00DF28F4"/>
    <w:rsid w:val="00DF401C"/>
    <w:rsid w:val="00DF5247"/>
    <w:rsid w:val="00E02D91"/>
    <w:rsid w:val="00E03BC5"/>
    <w:rsid w:val="00E03F88"/>
    <w:rsid w:val="00E06E50"/>
    <w:rsid w:val="00E10D2F"/>
    <w:rsid w:val="00E12AA6"/>
    <w:rsid w:val="00E14911"/>
    <w:rsid w:val="00E14F5D"/>
    <w:rsid w:val="00E1596C"/>
    <w:rsid w:val="00E15A7F"/>
    <w:rsid w:val="00E15FED"/>
    <w:rsid w:val="00E20B59"/>
    <w:rsid w:val="00E232CE"/>
    <w:rsid w:val="00E2626C"/>
    <w:rsid w:val="00E26A34"/>
    <w:rsid w:val="00E302BD"/>
    <w:rsid w:val="00E30B11"/>
    <w:rsid w:val="00E317CF"/>
    <w:rsid w:val="00E33254"/>
    <w:rsid w:val="00E358E0"/>
    <w:rsid w:val="00E35A65"/>
    <w:rsid w:val="00E4143B"/>
    <w:rsid w:val="00E42E35"/>
    <w:rsid w:val="00E43641"/>
    <w:rsid w:val="00E52FF3"/>
    <w:rsid w:val="00E564F4"/>
    <w:rsid w:val="00E569A9"/>
    <w:rsid w:val="00E606E3"/>
    <w:rsid w:val="00E60EA2"/>
    <w:rsid w:val="00E7125F"/>
    <w:rsid w:val="00E72417"/>
    <w:rsid w:val="00E72806"/>
    <w:rsid w:val="00E73D0F"/>
    <w:rsid w:val="00E74438"/>
    <w:rsid w:val="00E76169"/>
    <w:rsid w:val="00E76CCF"/>
    <w:rsid w:val="00E77E08"/>
    <w:rsid w:val="00E853B4"/>
    <w:rsid w:val="00E85A77"/>
    <w:rsid w:val="00E90770"/>
    <w:rsid w:val="00E90BB8"/>
    <w:rsid w:val="00E93F54"/>
    <w:rsid w:val="00E95035"/>
    <w:rsid w:val="00E96B68"/>
    <w:rsid w:val="00E97499"/>
    <w:rsid w:val="00E977D5"/>
    <w:rsid w:val="00EA1959"/>
    <w:rsid w:val="00EA2C34"/>
    <w:rsid w:val="00EA3A01"/>
    <w:rsid w:val="00EA518D"/>
    <w:rsid w:val="00EB4354"/>
    <w:rsid w:val="00EB48AE"/>
    <w:rsid w:val="00EB6AB8"/>
    <w:rsid w:val="00EC114A"/>
    <w:rsid w:val="00EC2DF6"/>
    <w:rsid w:val="00EC3342"/>
    <w:rsid w:val="00EC4B66"/>
    <w:rsid w:val="00EC7DFE"/>
    <w:rsid w:val="00ED1E2A"/>
    <w:rsid w:val="00ED2D12"/>
    <w:rsid w:val="00ED3D0D"/>
    <w:rsid w:val="00ED5713"/>
    <w:rsid w:val="00ED6786"/>
    <w:rsid w:val="00EE1505"/>
    <w:rsid w:val="00EE588D"/>
    <w:rsid w:val="00F0380A"/>
    <w:rsid w:val="00F054A4"/>
    <w:rsid w:val="00F1068E"/>
    <w:rsid w:val="00F10843"/>
    <w:rsid w:val="00F1168C"/>
    <w:rsid w:val="00F16149"/>
    <w:rsid w:val="00F1644B"/>
    <w:rsid w:val="00F178FC"/>
    <w:rsid w:val="00F20669"/>
    <w:rsid w:val="00F21914"/>
    <w:rsid w:val="00F231A4"/>
    <w:rsid w:val="00F24DC8"/>
    <w:rsid w:val="00F25054"/>
    <w:rsid w:val="00F2525D"/>
    <w:rsid w:val="00F31641"/>
    <w:rsid w:val="00F32680"/>
    <w:rsid w:val="00F33BAA"/>
    <w:rsid w:val="00F36F16"/>
    <w:rsid w:val="00F36F53"/>
    <w:rsid w:val="00F37A09"/>
    <w:rsid w:val="00F41735"/>
    <w:rsid w:val="00F43A73"/>
    <w:rsid w:val="00F4430D"/>
    <w:rsid w:val="00F45E5C"/>
    <w:rsid w:val="00F463DF"/>
    <w:rsid w:val="00F50F65"/>
    <w:rsid w:val="00F51369"/>
    <w:rsid w:val="00F52C8A"/>
    <w:rsid w:val="00F53E44"/>
    <w:rsid w:val="00F5414D"/>
    <w:rsid w:val="00F543D7"/>
    <w:rsid w:val="00F54A61"/>
    <w:rsid w:val="00F55866"/>
    <w:rsid w:val="00F559C1"/>
    <w:rsid w:val="00F56627"/>
    <w:rsid w:val="00F61905"/>
    <w:rsid w:val="00F643EB"/>
    <w:rsid w:val="00F64FA2"/>
    <w:rsid w:val="00F65A77"/>
    <w:rsid w:val="00F66C03"/>
    <w:rsid w:val="00F66D4D"/>
    <w:rsid w:val="00F671A4"/>
    <w:rsid w:val="00F677DC"/>
    <w:rsid w:val="00F72860"/>
    <w:rsid w:val="00F824E3"/>
    <w:rsid w:val="00F83900"/>
    <w:rsid w:val="00F865C3"/>
    <w:rsid w:val="00F86B53"/>
    <w:rsid w:val="00F879E0"/>
    <w:rsid w:val="00F9083C"/>
    <w:rsid w:val="00F9748F"/>
    <w:rsid w:val="00FA197C"/>
    <w:rsid w:val="00FA2194"/>
    <w:rsid w:val="00FA3721"/>
    <w:rsid w:val="00FA435F"/>
    <w:rsid w:val="00FB04CB"/>
    <w:rsid w:val="00FB1DFA"/>
    <w:rsid w:val="00FB38B3"/>
    <w:rsid w:val="00FB3FB8"/>
    <w:rsid w:val="00FB43B4"/>
    <w:rsid w:val="00FB49ED"/>
    <w:rsid w:val="00FB5119"/>
    <w:rsid w:val="00FC3249"/>
    <w:rsid w:val="00FC4A01"/>
    <w:rsid w:val="00FC4EB2"/>
    <w:rsid w:val="00FD18A8"/>
    <w:rsid w:val="00FD18C8"/>
    <w:rsid w:val="00FD2051"/>
    <w:rsid w:val="00FD45B6"/>
    <w:rsid w:val="00FD474A"/>
    <w:rsid w:val="00FD5D01"/>
    <w:rsid w:val="00FD754A"/>
    <w:rsid w:val="00FE1992"/>
    <w:rsid w:val="00FE1B7E"/>
    <w:rsid w:val="00FE515F"/>
    <w:rsid w:val="00FE6441"/>
    <w:rsid w:val="00FF0332"/>
    <w:rsid w:val="00FF10BE"/>
    <w:rsid w:val="00FF1C6C"/>
    <w:rsid w:val="00FF325C"/>
    <w:rsid w:val="00FF39FF"/>
    <w:rsid w:val="00FF75F3"/>
    <w:rsid w:val="03E759F6"/>
    <w:rsid w:val="041B1EA0"/>
    <w:rsid w:val="04E134A6"/>
    <w:rsid w:val="06220A6E"/>
    <w:rsid w:val="062D6D97"/>
    <w:rsid w:val="069A1660"/>
    <w:rsid w:val="07716134"/>
    <w:rsid w:val="085027E4"/>
    <w:rsid w:val="085C48E0"/>
    <w:rsid w:val="095D56BD"/>
    <w:rsid w:val="0AC37758"/>
    <w:rsid w:val="0C001AC5"/>
    <w:rsid w:val="0C3862BE"/>
    <w:rsid w:val="0C4C6087"/>
    <w:rsid w:val="0CF36074"/>
    <w:rsid w:val="0D973874"/>
    <w:rsid w:val="0DDC1E79"/>
    <w:rsid w:val="0FB57A47"/>
    <w:rsid w:val="107439CE"/>
    <w:rsid w:val="10A852A0"/>
    <w:rsid w:val="10B7091A"/>
    <w:rsid w:val="117E57CD"/>
    <w:rsid w:val="13781A9B"/>
    <w:rsid w:val="13A51FA5"/>
    <w:rsid w:val="14B57676"/>
    <w:rsid w:val="16783AEC"/>
    <w:rsid w:val="174B2FAF"/>
    <w:rsid w:val="17EE4F9A"/>
    <w:rsid w:val="184E0379"/>
    <w:rsid w:val="1923700E"/>
    <w:rsid w:val="19CB2F40"/>
    <w:rsid w:val="19FA6457"/>
    <w:rsid w:val="1A034039"/>
    <w:rsid w:val="1B006D3D"/>
    <w:rsid w:val="1BEF2AA3"/>
    <w:rsid w:val="1D692060"/>
    <w:rsid w:val="1F8479EA"/>
    <w:rsid w:val="221922E6"/>
    <w:rsid w:val="23BE4D25"/>
    <w:rsid w:val="25722E52"/>
    <w:rsid w:val="25790933"/>
    <w:rsid w:val="26E75C7A"/>
    <w:rsid w:val="27C272BD"/>
    <w:rsid w:val="28122AE1"/>
    <w:rsid w:val="295B5BB0"/>
    <w:rsid w:val="2A2948D9"/>
    <w:rsid w:val="2B282250"/>
    <w:rsid w:val="2B76788E"/>
    <w:rsid w:val="2BFC3EB7"/>
    <w:rsid w:val="2D5F18C7"/>
    <w:rsid w:val="2D691E8F"/>
    <w:rsid w:val="2D756B78"/>
    <w:rsid w:val="30E17FD9"/>
    <w:rsid w:val="31243EB3"/>
    <w:rsid w:val="314C2628"/>
    <w:rsid w:val="31DA09FD"/>
    <w:rsid w:val="33383B4A"/>
    <w:rsid w:val="339B5404"/>
    <w:rsid w:val="345948FA"/>
    <w:rsid w:val="34FB152E"/>
    <w:rsid w:val="35EB3E83"/>
    <w:rsid w:val="36DA2793"/>
    <w:rsid w:val="387D727B"/>
    <w:rsid w:val="38C8216C"/>
    <w:rsid w:val="39496281"/>
    <w:rsid w:val="39912CD5"/>
    <w:rsid w:val="39BC210B"/>
    <w:rsid w:val="39C21C7F"/>
    <w:rsid w:val="3AC9576E"/>
    <w:rsid w:val="3B044860"/>
    <w:rsid w:val="3B870981"/>
    <w:rsid w:val="3BF53E8C"/>
    <w:rsid w:val="3C073008"/>
    <w:rsid w:val="3C371ECB"/>
    <w:rsid w:val="3C5F6A31"/>
    <w:rsid w:val="3CEC5B03"/>
    <w:rsid w:val="3D9717AA"/>
    <w:rsid w:val="3F754DFF"/>
    <w:rsid w:val="3F942F91"/>
    <w:rsid w:val="3FC02ECB"/>
    <w:rsid w:val="403A3579"/>
    <w:rsid w:val="40664DC6"/>
    <w:rsid w:val="40AE7556"/>
    <w:rsid w:val="40BC5966"/>
    <w:rsid w:val="42216AF5"/>
    <w:rsid w:val="42DD405D"/>
    <w:rsid w:val="42EA1EFD"/>
    <w:rsid w:val="43126A78"/>
    <w:rsid w:val="46F446E8"/>
    <w:rsid w:val="4A8C3E48"/>
    <w:rsid w:val="4B660DFA"/>
    <w:rsid w:val="4B76388E"/>
    <w:rsid w:val="4D5C29C2"/>
    <w:rsid w:val="4F842015"/>
    <w:rsid w:val="53453C78"/>
    <w:rsid w:val="5355267E"/>
    <w:rsid w:val="554774D9"/>
    <w:rsid w:val="56235FF4"/>
    <w:rsid w:val="57EB3D31"/>
    <w:rsid w:val="599939C4"/>
    <w:rsid w:val="5A0F55AB"/>
    <w:rsid w:val="5A8C717C"/>
    <w:rsid w:val="5BA068D1"/>
    <w:rsid w:val="5C1F29BB"/>
    <w:rsid w:val="5C3C5634"/>
    <w:rsid w:val="5C58652F"/>
    <w:rsid w:val="5DC563CE"/>
    <w:rsid w:val="5FB32A6C"/>
    <w:rsid w:val="60983D92"/>
    <w:rsid w:val="62CE12DB"/>
    <w:rsid w:val="64010387"/>
    <w:rsid w:val="655D7702"/>
    <w:rsid w:val="68674FD7"/>
    <w:rsid w:val="68F579C6"/>
    <w:rsid w:val="6A415567"/>
    <w:rsid w:val="6A57283A"/>
    <w:rsid w:val="6A5D11BB"/>
    <w:rsid w:val="6A765FC2"/>
    <w:rsid w:val="6B44797C"/>
    <w:rsid w:val="6DB34D67"/>
    <w:rsid w:val="6DC34888"/>
    <w:rsid w:val="6DFE08FF"/>
    <w:rsid w:val="6F5C4EEC"/>
    <w:rsid w:val="71DB051C"/>
    <w:rsid w:val="72E01973"/>
    <w:rsid w:val="72EF2B1D"/>
    <w:rsid w:val="73B910A3"/>
    <w:rsid w:val="75F62FDF"/>
    <w:rsid w:val="78B43864"/>
    <w:rsid w:val="78D7315B"/>
    <w:rsid w:val="79B34413"/>
    <w:rsid w:val="7A832B1B"/>
    <w:rsid w:val="7B2077F6"/>
    <w:rsid w:val="7C585D24"/>
    <w:rsid w:val="7D38498B"/>
    <w:rsid w:val="FF8FA70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3"/>
    <w:qFormat/>
    <w:uiPriority w:val="0"/>
    <w:pPr>
      <w:keepNext/>
      <w:jc w:val="center"/>
      <w:outlineLvl w:val="0"/>
    </w:pPr>
    <w:rPr>
      <w:rFonts w:ascii="楷体_GB2312" w:hAnsi="Times New Roman" w:eastAsia="楷体_GB2312"/>
      <w:sz w:val="28"/>
      <w:szCs w:val="28"/>
    </w:rPr>
  </w:style>
  <w:style w:type="paragraph" w:styleId="3">
    <w:name w:val="heading 2"/>
    <w:basedOn w:val="1"/>
    <w:next w:val="4"/>
    <w:link w:val="44"/>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4"/>
    <w:link w:val="46"/>
    <w:qFormat/>
    <w:uiPriority w:val="0"/>
    <w:pPr>
      <w:keepNext/>
      <w:keepLines/>
      <w:spacing w:before="260" w:after="260" w:line="416" w:lineRule="auto"/>
      <w:outlineLvl w:val="2"/>
    </w:pPr>
    <w:rPr>
      <w:rFonts w:ascii="Times New Roman" w:hAnsi="Times New Roman"/>
      <w:b/>
      <w:bCs/>
      <w:sz w:val="32"/>
      <w:szCs w:val="32"/>
    </w:rPr>
  </w:style>
  <w:style w:type="paragraph" w:styleId="6">
    <w:name w:val="heading 4"/>
    <w:basedOn w:val="1"/>
    <w:next w:val="4"/>
    <w:link w:val="47"/>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link w:val="48"/>
    <w:qFormat/>
    <w:uiPriority w:val="0"/>
    <w:pPr>
      <w:keepNext/>
      <w:autoSpaceDE w:val="0"/>
      <w:autoSpaceDN w:val="0"/>
      <w:adjustRightInd w:val="0"/>
      <w:outlineLvl w:val="4"/>
    </w:pPr>
    <w:rPr>
      <w:rFonts w:ascii="宋体" w:hAnsi="Times New Roman"/>
      <w:color w:val="000000"/>
      <w:kern w:val="0"/>
      <w:sz w:val="28"/>
      <w:szCs w:val="28"/>
    </w:rPr>
  </w:style>
  <w:style w:type="paragraph" w:styleId="8">
    <w:name w:val="heading 6"/>
    <w:basedOn w:val="1"/>
    <w:next w:val="1"/>
    <w:link w:val="49"/>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50"/>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styleId="10">
    <w:name w:val="heading 8"/>
    <w:basedOn w:val="1"/>
    <w:next w:val="1"/>
    <w:link w:val="51"/>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52"/>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38">
    <w:name w:val="Default Paragraph Font"/>
    <w:unhideWhenUsed/>
    <w:qFormat/>
    <w:uiPriority w:val="1"/>
  </w:style>
  <w:style w:type="table" w:default="1" w:styleId="37">
    <w:name w:val="Normal Table"/>
    <w:unhideWhenUsed/>
    <w:qFormat/>
    <w:uiPriority w:val="99"/>
    <w:tblPr>
      <w:tblCellMar>
        <w:top w:w="0" w:type="dxa"/>
        <w:left w:w="108" w:type="dxa"/>
        <w:bottom w:w="0" w:type="dxa"/>
        <w:right w:w="108" w:type="dxa"/>
      </w:tblCellMar>
    </w:tblPr>
  </w:style>
  <w:style w:type="paragraph" w:styleId="4">
    <w:name w:val="Normal Indent"/>
    <w:basedOn w:val="1"/>
    <w:link w:val="45"/>
    <w:qFormat/>
    <w:uiPriority w:val="0"/>
    <w:pPr>
      <w:ind w:firstLine="420"/>
    </w:pPr>
    <w:rPr>
      <w:rFonts w:ascii="Times New Roman" w:hAnsi="Times New Roman"/>
      <w:szCs w:val="21"/>
    </w:rPr>
  </w:style>
  <w:style w:type="paragraph" w:styleId="12">
    <w:name w:val="List 3"/>
    <w:basedOn w:val="1"/>
    <w:qFormat/>
    <w:uiPriority w:val="0"/>
    <w:pPr>
      <w:ind w:left="100" w:leftChars="400" w:hanging="200" w:hangingChars="200"/>
    </w:pPr>
    <w:rPr>
      <w:rFonts w:ascii="Times New Roman" w:hAnsi="Times New Roman"/>
      <w:szCs w:val="21"/>
    </w:rPr>
  </w:style>
  <w:style w:type="paragraph" w:styleId="13">
    <w:name w:val="Document Map"/>
    <w:basedOn w:val="1"/>
    <w:link w:val="53"/>
    <w:qFormat/>
    <w:uiPriority w:val="0"/>
    <w:pPr>
      <w:shd w:val="clear" w:color="auto" w:fill="000080"/>
    </w:pPr>
    <w:rPr>
      <w:rFonts w:ascii="Times New Roman" w:hAnsi="Times New Roman"/>
      <w:szCs w:val="21"/>
    </w:rPr>
  </w:style>
  <w:style w:type="paragraph" w:styleId="14">
    <w:name w:val="annotation text"/>
    <w:basedOn w:val="1"/>
    <w:unhideWhenUsed/>
    <w:qFormat/>
    <w:uiPriority w:val="99"/>
    <w:pPr>
      <w:jc w:val="left"/>
    </w:pPr>
  </w:style>
  <w:style w:type="paragraph" w:styleId="15">
    <w:name w:val="Body Text 3"/>
    <w:basedOn w:val="1"/>
    <w:link w:val="54"/>
    <w:qFormat/>
    <w:uiPriority w:val="0"/>
    <w:rPr>
      <w:rFonts w:ascii="仿宋_GB2312" w:hAnsi="Arial" w:eastAsia="仿宋_GB2312"/>
      <w:sz w:val="32"/>
      <w:szCs w:val="32"/>
    </w:rPr>
  </w:style>
  <w:style w:type="paragraph" w:styleId="16">
    <w:name w:val="Body Text"/>
    <w:basedOn w:val="1"/>
    <w:link w:val="55"/>
    <w:qFormat/>
    <w:uiPriority w:val="0"/>
    <w:rPr>
      <w:rFonts w:ascii="楷体_GB2312" w:hAnsi="Arial" w:eastAsia="楷体_GB2312"/>
      <w:sz w:val="28"/>
      <w:szCs w:val="28"/>
    </w:rPr>
  </w:style>
  <w:style w:type="paragraph" w:styleId="17">
    <w:name w:val="Body Text Indent"/>
    <w:basedOn w:val="1"/>
    <w:link w:val="56"/>
    <w:qFormat/>
    <w:uiPriority w:val="0"/>
    <w:pPr>
      <w:spacing w:after="120"/>
      <w:ind w:left="420" w:leftChars="200"/>
    </w:pPr>
    <w:rPr>
      <w:rFonts w:ascii="Times New Roman" w:hAnsi="Times New Roman"/>
      <w:szCs w:val="21"/>
    </w:rPr>
  </w:style>
  <w:style w:type="paragraph" w:styleId="18">
    <w:name w:val="List 2"/>
    <w:basedOn w:val="1"/>
    <w:qFormat/>
    <w:uiPriority w:val="0"/>
    <w:pPr>
      <w:ind w:left="100" w:leftChars="200" w:hanging="200" w:hangingChars="200"/>
    </w:pPr>
    <w:rPr>
      <w:rFonts w:ascii="Times New Roman" w:hAnsi="Times New Roman"/>
      <w:szCs w:val="21"/>
    </w:rPr>
  </w:style>
  <w:style w:type="paragraph" w:styleId="19">
    <w:name w:val="toc 3"/>
    <w:basedOn w:val="1"/>
    <w:next w:val="1"/>
    <w:qFormat/>
    <w:uiPriority w:val="0"/>
    <w:pPr>
      <w:ind w:left="420"/>
      <w:jc w:val="left"/>
    </w:pPr>
    <w:rPr>
      <w:i/>
      <w:iCs/>
      <w:sz w:val="20"/>
    </w:rPr>
  </w:style>
  <w:style w:type="paragraph" w:styleId="20">
    <w:name w:val="Plain Text"/>
    <w:basedOn w:val="1"/>
    <w:link w:val="57"/>
    <w:qFormat/>
    <w:uiPriority w:val="99"/>
    <w:rPr>
      <w:rFonts w:ascii="宋体" w:hAnsi="Courier New" w:cs="Courier New"/>
      <w:szCs w:val="21"/>
    </w:rPr>
  </w:style>
  <w:style w:type="paragraph" w:styleId="21">
    <w:name w:val="Date"/>
    <w:basedOn w:val="1"/>
    <w:next w:val="1"/>
    <w:link w:val="58"/>
    <w:qFormat/>
    <w:uiPriority w:val="0"/>
    <w:rPr>
      <w:rFonts w:ascii="Times New Roman" w:hAnsi="Times New Roman"/>
      <w:sz w:val="24"/>
      <w:szCs w:val="24"/>
    </w:rPr>
  </w:style>
  <w:style w:type="paragraph" w:styleId="22">
    <w:name w:val="Body Text Indent 2"/>
    <w:basedOn w:val="1"/>
    <w:link w:val="59"/>
    <w:qFormat/>
    <w:uiPriority w:val="0"/>
    <w:pPr>
      <w:ind w:left="630" w:firstLine="645"/>
    </w:pPr>
    <w:rPr>
      <w:rFonts w:ascii="Arial" w:hAnsi="Arial" w:eastAsia="仿宋_GB2312"/>
      <w:sz w:val="32"/>
      <w:szCs w:val="32"/>
    </w:rPr>
  </w:style>
  <w:style w:type="paragraph" w:styleId="23">
    <w:name w:val="Balloon Text"/>
    <w:basedOn w:val="1"/>
    <w:link w:val="60"/>
    <w:unhideWhenUsed/>
    <w:qFormat/>
    <w:uiPriority w:val="99"/>
    <w:rPr>
      <w:rFonts w:ascii="Times New Roman" w:hAnsi="Times New Roman"/>
      <w:sz w:val="18"/>
      <w:szCs w:val="18"/>
    </w:rPr>
  </w:style>
  <w:style w:type="paragraph" w:styleId="24">
    <w:name w:val="footer"/>
    <w:basedOn w:val="1"/>
    <w:link w:val="61"/>
    <w:qFormat/>
    <w:uiPriority w:val="0"/>
    <w:pPr>
      <w:tabs>
        <w:tab w:val="center" w:pos="4153"/>
        <w:tab w:val="right" w:pos="8306"/>
      </w:tabs>
      <w:snapToGrid w:val="0"/>
      <w:jc w:val="left"/>
    </w:pPr>
    <w:rPr>
      <w:rFonts w:ascii="Times New Roman" w:hAnsi="Times New Roman"/>
      <w:sz w:val="18"/>
    </w:rPr>
  </w:style>
  <w:style w:type="paragraph" w:styleId="25">
    <w:name w:val="header"/>
    <w:basedOn w:val="1"/>
    <w:link w:val="62"/>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sz w:val="18"/>
    </w:rPr>
  </w:style>
  <w:style w:type="paragraph" w:styleId="26">
    <w:name w:val="toc 1"/>
    <w:basedOn w:val="1"/>
    <w:next w:val="1"/>
    <w:qFormat/>
    <w:uiPriority w:val="39"/>
    <w:pPr>
      <w:spacing w:before="120" w:after="120"/>
      <w:jc w:val="left"/>
    </w:pPr>
    <w:rPr>
      <w:b/>
      <w:bCs/>
      <w:caps/>
      <w:sz w:val="20"/>
    </w:rPr>
  </w:style>
  <w:style w:type="paragraph" w:styleId="27">
    <w:name w:val="List"/>
    <w:basedOn w:val="1"/>
    <w:qFormat/>
    <w:uiPriority w:val="0"/>
    <w:pPr>
      <w:ind w:left="200" w:hanging="200" w:hangingChars="200"/>
    </w:pPr>
    <w:rPr>
      <w:rFonts w:ascii="Times New Roman" w:hAnsi="Times New Roman"/>
      <w:szCs w:val="21"/>
    </w:rPr>
  </w:style>
  <w:style w:type="paragraph" w:styleId="28">
    <w:name w:val="Body Text Indent 3"/>
    <w:basedOn w:val="1"/>
    <w:link w:val="63"/>
    <w:qFormat/>
    <w:uiPriority w:val="0"/>
    <w:pPr>
      <w:ind w:left="645" w:firstLine="645"/>
    </w:pPr>
    <w:rPr>
      <w:rFonts w:ascii="Arial" w:hAnsi="Arial" w:eastAsia="仿宋_GB2312"/>
      <w:color w:val="FFFF00"/>
      <w:sz w:val="32"/>
      <w:szCs w:val="32"/>
    </w:rPr>
  </w:style>
  <w:style w:type="paragraph" w:styleId="29">
    <w:name w:val="toc 2"/>
    <w:basedOn w:val="1"/>
    <w:next w:val="1"/>
    <w:qFormat/>
    <w:uiPriority w:val="0"/>
    <w:pPr>
      <w:ind w:left="210"/>
      <w:jc w:val="left"/>
    </w:pPr>
    <w:rPr>
      <w:smallCaps/>
      <w:sz w:val="20"/>
    </w:rPr>
  </w:style>
  <w:style w:type="paragraph" w:styleId="30">
    <w:name w:val="Body Text 2"/>
    <w:basedOn w:val="1"/>
    <w:link w:val="64"/>
    <w:qFormat/>
    <w:uiPriority w:val="0"/>
    <w:pPr>
      <w:widowControl/>
      <w:jc w:val="center"/>
    </w:pPr>
    <w:rPr>
      <w:rFonts w:ascii="楷体_GB2312" w:hAnsi="Times New Roman" w:eastAsia="楷体_GB2312"/>
      <w:sz w:val="28"/>
      <w:szCs w:val="28"/>
    </w:rPr>
  </w:style>
  <w:style w:type="paragraph" w:styleId="31">
    <w:name w:val="HTML Preformatted"/>
    <w:basedOn w:val="1"/>
    <w:link w:val="6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微软雅黑" w:hAnsi="微软雅黑"/>
      <w:kern w:val="0"/>
      <w:sz w:val="24"/>
      <w:szCs w:val="24"/>
    </w:rPr>
  </w:style>
  <w:style w:type="paragraph" w:styleId="32">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33">
    <w:name w:val="index 1"/>
    <w:basedOn w:val="1"/>
    <w:next w:val="1"/>
    <w:qFormat/>
    <w:uiPriority w:val="0"/>
    <w:pPr>
      <w:spacing w:line="240" w:lineRule="atLeast"/>
    </w:pPr>
    <w:rPr>
      <w:rFonts w:ascii="Times New Roman" w:hAnsi="Times New Roman"/>
      <w:b/>
      <w:bCs/>
      <w:szCs w:val="21"/>
    </w:rPr>
  </w:style>
  <w:style w:type="paragraph" w:styleId="34">
    <w:name w:val="Title"/>
    <w:basedOn w:val="1"/>
    <w:link w:val="66"/>
    <w:qFormat/>
    <w:uiPriority w:val="0"/>
    <w:pPr>
      <w:spacing w:before="240" w:after="60"/>
      <w:jc w:val="center"/>
      <w:outlineLvl w:val="0"/>
    </w:pPr>
    <w:rPr>
      <w:rFonts w:ascii="Arial" w:hAnsi="Arial"/>
      <w:b/>
      <w:bCs/>
      <w:sz w:val="32"/>
      <w:szCs w:val="32"/>
    </w:rPr>
  </w:style>
  <w:style w:type="paragraph" w:styleId="35">
    <w:name w:val="Body Text First Indent"/>
    <w:basedOn w:val="1"/>
    <w:link w:val="67"/>
    <w:qFormat/>
    <w:uiPriority w:val="0"/>
    <w:pPr>
      <w:spacing w:line="360" w:lineRule="auto"/>
      <w:ind w:firstLine="200" w:firstLineChars="200"/>
    </w:pPr>
    <w:rPr>
      <w:rFonts w:ascii="仿宋_GB2312" w:hAnsi="Times New Roman" w:eastAsia="仿宋_GB2312"/>
      <w:sz w:val="30"/>
      <w:szCs w:val="30"/>
    </w:rPr>
  </w:style>
  <w:style w:type="paragraph" w:styleId="36">
    <w:name w:val="Body Text First Indent 2"/>
    <w:basedOn w:val="17"/>
    <w:link w:val="68"/>
    <w:qFormat/>
    <w:uiPriority w:val="0"/>
    <w:pPr>
      <w:spacing w:after="0" w:line="360" w:lineRule="auto"/>
      <w:ind w:left="0" w:leftChars="0" w:firstLine="420" w:firstLineChars="200"/>
    </w:pPr>
    <w:rPr>
      <w:rFonts w:ascii="宋体" w:hAnsi="宋体"/>
    </w:rPr>
  </w:style>
  <w:style w:type="character" w:styleId="39">
    <w:name w:val="Strong"/>
    <w:qFormat/>
    <w:uiPriority w:val="0"/>
    <w:rPr>
      <w:rFonts w:ascii="Times New Roman" w:hAnsi="Times New Roman" w:eastAsia="宋体" w:cs="Times New Roman"/>
      <w:b/>
      <w:bCs/>
    </w:rPr>
  </w:style>
  <w:style w:type="character" w:styleId="40">
    <w:name w:val="page number"/>
    <w:qFormat/>
    <w:uiPriority w:val="0"/>
    <w:rPr>
      <w:rFonts w:ascii="Times New Roman" w:hAnsi="Times New Roman" w:eastAsia="宋体" w:cs="Times New Roman"/>
    </w:rPr>
  </w:style>
  <w:style w:type="character" w:styleId="41">
    <w:name w:val="FollowedHyperlink"/>
    <w:qFormat/>
    <w:uiPriority w:val="0"/>
    <w:rPr>
      <w:rFonts w:ascii="Times New Roman" w:hAnsi="Times New Roman" w:eastAsia="宋体" w:cs="Times New Roman"/>
      <w:color w:val="800080"/>
      <w:u w:val="single"/>
    </w:rPr>
  </w:style>
  <w:style w:type="character" w:styleId="42">
    <w:name w:val="Hyperlink"/>
    <w:qFormat/>
    <w:uiPriority w:val="99"/>
    <w:rPr>
      <w:rFonts w:ascii="Times New Roman" w:hAnsi="Times New Roman" w:eastAsia="宋体" w:cs="Times New Roman"/>
      <w:color w:val="0000FF"/>
      <w:u w:val="single"/>
    </w:rPr>
  </w:style>
  <w:style w:type="character" w:customStyle="1" w:styleId="43">
    <w:name w:val="标题 1 字符"/>
    <w:link w:val="2"/>
    <w:qFormat/>
    <w:uiPriority w:val="9"/>
    <w:rPr>
      <w:rFonts w:ascii="楷体_GB2312" w:hAnsi="Times New Roman" w:eastAsia="楷体_GB2312" w:cs="Times New Roman"/>
      <w:kern w:val="2"/>
      <w:sz w:val="28"/>
      <w:szCs w:val="28"/>
    </w:rPr>
  </w:style>
  <w:style w:type="character" w:customStyle="1" w:styleId="44">
    <w:name w:val="标题 2 字符"/>
    <w:link w:val="3"/>
    <w:qFormat/>
    <w:uiPriority w:val="0"/>
    <w:rPr>
      <w:rFonts w:ascii="Arial" w:hAnsi="Arial" w:eastAsia="幼圆" w:cs="Arial"/>
      <w:b/>
      <w:bCs/>
      <w:kern w:val="2"/>
      <w:sz w:val="44"/>
      <w:szCs w:val="44"/>
      <w:lang w:val="en-US" w:eastAsia="zh-CN" w:bidi="ar-SA"/>
    </w:rPr>
  </w:style>
  <w:style w:type="character" w:customStyle="1" w:styleId="45">
    <w:name w:val="正文缩进 字符"/>
    <w:link w:val="4"/>
    <w:qFormat/>
    <w:uiPriority w:val="0"/>
    <w:rPr>
      <w:rFonts w:ascii="Times New Roman" w:hAnsi="Times New Roman" w:eastAsia="宋体" w:cs="Times New Roman"/>
      <w:kern w:val="2"/>
      <w:sz w:val="21"/>
      <w:szCs w:val="21"/>
      <w:lang w:val="en-US" w:eastAsia="zh-CN" w:bidi="ar-SA"/>
    </w:rPr>
  </w:style>
  <w:style w:type="character" w:customStyle="1" w:styleId="46">
    <w:name w:val="标题 3 字符"/>
    <w:link w:val="5"/>
    <w:qFormat/>
    <w:uiPriority w:val="0"/>
    <w:rPr>
      <w:rFonts w:ascii="Times New Roman" w:hAnsi="Times New Roman" w:eastAsia="宋体" w:cs="Times New Roman"/>
      <w:b/>
      <w:bCs/>
      <w:kern w:val="2"/>
      <w:sz w:val="32"/>
      <w:szCs w:val="32"/>
      <w:lang w:val="en-US" w:eastAsia="zh-CN" w:bidi="ar-SA"/>
    </w:rPr>
  </w:style>
  <w:style w:type="character" w:customStyle="1" w:styleId="47">
    <w:name w:val="标题 4 字符"/>
    <w:link w:val="6"/>
    <w:qFormat/>
    <w:uiPriority w:val="0"/>
    <w:rPr>
      <w:rFonts w:ascii="Arial" w:hAnsi="Arial" w:eastAsia="黑体" w:cs="Arial"/>
      <w:b/>
      <w:bCs/>
      <w:kern w:val="2"/>
      <w:sz w:val="28"/>
      <w:szCs w:val="28"/>
    </w:rPr>
  </w:style>
  <w:style w:type="character" w:customStyle="1" w:styleId="48">
    <w:name w:val="标题 5 字符"/>
    <w:link w:val="7"/>
    <w:qFormat/>
    <w:uiPriority w:val="0"/>
    <w:rPr>
      <w:rFonts w:ascii="宋体" w:hAnsi="Times New Roman" w:eastAsia="宋体" w:cs="Times New Roman"/>
      <w:color w:val="000000"/>
      <w:sz w:val="28"/>
      <w:szCs w:val="28"/>
    </w:rPr>
  </w:style>
  <w:style w:type="character" w:customStyle="1" w:styleId="49">
    <w:name w:val="标题 6 字符"/>
    <w:link w:val="8"/>
    <w:qFormat/>
    <w:uiPriority w:val="0"/>
    <w:rPr>
      <w:rFonts w:ascii="Arial" w:hAnsi="Arial" w:eastAsia="黑体" w:cs="Times New Roman"/>
      <w:b/>
      <w:bCs/>
      <w:kern w:val="2"/>
      <w:sz w:val="24"/>
      <w:szCs w:val="24"/>
    </w:rPr>
  </w:style>
  <w:style w:type="character" w:customStyle="1" w:styleId="50">
    <w:name w:val="标题 7 字符"/>
    <w:link w:val="9"/>
    <w:qFormat/>
    <w:uiPriority w:val="0"/>
    <w:rPr>
      <w:rFonts w:ascii="Times New Roman" w:hAnsi="Times New Roman" w:eastAsia="宋体" w:cs="Times New Roman"/>
      <w:b/>
      <w:bCs/>
      <w:kern w:val="2"/>
      <w:sz w:val="24"/>
      <w:szCs w:val="24"/>
    </w:rPr>
  </w:style>
  <w:style w:type="character" w:customStyle="1" w:styleId="51">
    <w:name w:val="标题 8 字符"/>
    <w:link w:val="10"/>
    <w:qFormat/>
    <w:uiPriority w:val="0"/>
    <w:rPr>
      <w:rFonts w:ascii="Arial" w:hAnsi="Arial" w:eastAsia="黑体" w:cs="Times New Roman"/>
      <w:kern w:val="2"/>
      <w:sz w:val="24"/>
      <w:szCs w:val="24"/>
    </w:rPr>
  </w:style>
  <w:style w:type="character" w:customStyle="1" w:styleId="52">
    <w:name w:val="标题 9 字符"/>
    <w:link w:val="11"/>
    <w:qFormat/>
    <w:uiPriority w:val="0"/>
    <w:rPr>
      <w:rFonts w:ascii="Arial" w:hAnsi="Arial" w:eastAsia="黑体" w:cs="Times New Roman"/>
      <w:kern w:val="2"/>
      <w:sz w:val="21"/>
      <w:szCs w:val="21"/>
    </w:rPr>
  </w:style>
  <w:style w:type="character" w:customStyle="1" w:styleId="53">
    <w:name w:val="文档结构图 字符"/>
    <w:link w:val="13"/>
    <w:qFormat/>
    <w:uiPriority w:val="0"/>
    <w:rPr>
      <w:rFonts w:ascii="Times New Roman" w:hAnsi="Times New Roman" w:eastAsia="宋体" w:cs="Times New Roman"/>
      <w:kern w:val="2"/>
      <w:sz w:val="21"/>
      <w:szCs w:val="21"/>
      <w:shd w:val="clear" w:color="auto" w:fill="000080"/>
    </w:rPr>
  </w:style>
  <w:style w:type="character" w:customStyle="1" w:styleId="54">
    <w:name w:val="正文文本 3 字符"/>
    <w:link w:val="15"/>
    <w:qFormat/>
    <w:uiPriority w:val="0"/>
    <w:rPr>
      <w:rFonts w:ascii="仿宋_GB2312" w:hAnsi="Arial" w:eastAsia="仿宋_GB2312" w:cs="Times New Roman"/>
      <w:kern w:val="2"/>
      <w:sz w:val="32"/>
      <w:szCs w:val="32"/>
    </w:rPr>
  </w:style>
  <w:style w:type="character" w:customStyle="1" w:styleId="55">
    <w:name w:val="正文文本 字符"/>
    <w:link w:val="16"/>
    <w:qFormat/>
    <w:uiPriority w:val="0"/>
    <w:rPr>
      <w:rFonts w:ascii="楷体_GB2312" w:hAnsi="Arial" w:eastAsia="楷体_GB2312" w:cs="Times New Roman"/>
      <w:kern w:val="2"/>
      <w:sz w:val="28"/>
      <w:szCs w:val="28"/>
    </w:rPr>
  </w:style>
  <w:style w:type="character" w:customStyle="1" w:styleId="56">
    <w:name w:val="正文文本缩进 字符"/>
    <w:link w:val="17"/>
    <w:qFormat/>
    <w:uiPriority w:val="0"/>
    <w:rPr>
      <w:rFonts w:ascii="Times New Roman" w:hAnsi="Times New Roman" w:eastAsia="宋体" w:cs="Times New Roman"/>
      <w:kern w:val="2"/>
      <w:sz w:val="21"/>
      <w:szCs w:val="21"/>
    </w:rPr>
  </w:style>
  <w:style w:type="character" w:customStyle="1" w:styleId="57">
    <w:name w:val="纯文本 字符"/>
    <w:link w:val="20"/>
    <w:qFormat/>
    <w:uiPriority w:val="0"/>
    <w:rPr>
      <w:rFonts w:ascii="宋体" w:hAnsi="Courier New" w:eastAsia="宋体" w:cs="Courier New"/>
      <w:kern w:val="2"/>
      <w:sz w:val="21"/>
      <w:szCs w:val="21"/>
      <w:lang w:val="en-US" w:eastAsia="zh-CN" w:bidi="ar-SA"/>
    </w:rPr>
  </w:style>
  <w:style w:type="character" w:customStyle="1" w:styleId="58">
    <w:name w:val="日期 字符"/>
    <w:link w:val="21"/>
    <w:qFormat/>
    <w:uiPriority w:val="0"/>
    <w:rPr>
      <w:rFonts w:ascii="Times New Roman" w:hAnsi="Times New Roman" w:eastAsia="宋体" w:cs="Times New Roman"/>
      <w:kern w:val="2"/>
      <w:sz w:val="24"/>
      <w:szCs w:val="24"/>
    </w:rPr>
  </w:style>
  <w:style w:type="character" w:customStyle="1" w:styleId="59">
    <w:name w:val="正文文本缩进 2 字符"/>
    <w:link w:val="22"/>
    <w:qFormat/>
    <w:uiPriority w:val="0"/>
    <w:rPr>
      <w:rFonts w:ascii="Arial" w:hAnsi="Arial" w:eastAsia="仿宋_GB2312" w:cs="Arial"/>
      <w:kern w:val="2"/>
      <w:sz w:val="32"/>
      <w:szCs w:val="32"/>
    </w:rPr>
  </w:style>
  <w:style w:type="character" w:customStyle="1" w:styleId="60">
    <w:name w:val="批注框文本 字符"/>
    <w:link w:val="23"/>
    <w:semiHidden/>
    <w:qFormat/>
    <w:uiPriority w:val="99"/>
    <w:rPr>
      <w:rFonts w:ascii="Times New Roman" w:hAnsi="Times New Roman" w:eastAsia="宋体" w:cs="Times New Roman"/>
      <w:kern w:val="2"/>
      <w:sz w:val="18"/>
      <w:szCs w:val="18"/>
    </w:rPr>
  </w:style>
  <w:style w:type="character" w:customStyle="1" w:styleId="61">
    <w:name w:val="页脚 字符"/>
    <w:link w:val="24"/>
    <w:qFormat/>
    <w:uiPriority w:val="0"/>
    <w:rPr>
      <w:rFonts w:ascii="Times New Roman" w:hAnsi="Times New Roman" w:eastAsia="宋体" w:cs="Times New Roman"/>
      <w:kern w:val="2"/>
      <w:sz w:val="18"/>
      <w:lang w:val="en-US" w:eastAsia="zh-CN" w:bidi="ar-SA"/>
    </w:rPr>
  </w:style>
  <w:style w:type="character" w:customStyle="1" w:styleId="62">
    <w:name w:val="页眉 字符"/>
    <w:link w:val="25"/>
    <w:qFormat/>
    <w:uiPriority w:val="0"/>
    <w:rPr>
      <w:rFonts w:ascii="Times New Roman" w:hAnsi="Times New Roman" w:eastAsia="宋体" w:cs="Times New Roman"/>
      <w:kern w:val="2"/>
      <w:sz w:val="18"/>
    </w:rPr>
  </w:style>
  <w:style w:type="character" w:customStyle="1" w:styleId="63">
    <w:name w:val="正文文本缩进 3 字符"/>
    <w:link w:val="28"/>
    <w:qFormat/>
    <w:uiPriority w:val="0"/>
    <w:rPr>
      <w:rFonts w:ascii="Arial" w:hAnsi="Arial" w:eastAsia="仿宋_GB2312" w:cs="Arial"/>
      <w:color w:val="FFFF00"/>
      <w:kern w:val="2"/>
      <w:sz w:val="32"/>
      <w:szCs w:val="32"/>
    </w:rPr>
  </w:style>
  <w:style w:type="character" w:customStyle="1" w:styleId="64">
    <w:name w:val="正文文本 2 字符"/>
    <w:link w:val="30"/>
    <w:qFormat/>
    <w:uiPriority w:val="0"/>
    <w:rPr>
      <w:rFonts w:ascii="楷体_GB2312" w:hAnsi="Times New Roman" w:eastAsia="楷体_GB2312" w:cs="Times New Roman"/>
      <w:kern w:val="2"/>
      <w:sz w:val="28"/>
      <w:szCs w:val="28"/>
    </w:rPr>
  </w:style>
  <w:style w:type="character" w:customStyle="1" w:styleId="65">
    <w:name w:val="HTML 预设格式 字符"/>
    <w:link w:val="31"/>
    <w:qFormat/>
    <w:uiPriority w:val="0"/>
    <w:rPr>
      <w:rFonts w:ascii="微软雅黑" w:hAnsi="微软雅黑" w:eastAsia="宋体" w:cs="Arial"/>
      <w:sz w:val="24"/>
      <w:szCs w:val="24"/>
    </w:rPr>
  </w:style>
  <w:style w:type="character" w:customStyle="1" w:styleId="66">
    <w:name w:val="标题 字符"/>
    <w:link w:val="34"/>
    <w:qFormat/>
    <w:uiPriority w:val="0"/>
    <w:rPr>
      <w:rFonts w:ascii="Arial" w:hAnsi="Arial" w:eastAsia="宋体" w:cs="Arial"/>
      <w:b/>
      <w:bCs/>
      <w:kern w:val="2"/>
      <w:sz w:val="32"/>
      <w:szCs w:val="32"/>
    </w:rPr>
  </w:style>
  <w:style w:type="character" w:customStyle="1" w:styleId="67">
    <w:name w:val="正文文本首行缩进 字符"/>
    <w:link w:val="35"/>
    <w:qFormat/>
    <w:uiPriority w:val="0"/>
    <w:rPr>
      <w:rFonts w:ascii="仿宋_GB2312" w:hAnsi="Times New Roman" w:eastAsia="仿宋_GB2312" w:cs="Times New Roman"/>
      <w:kern w:val="2"/>
      <w:sz w:val="30"/>
      <w:szCs w:val="30"/>
    </w:rPr>
  </w:style>
  <w:style w:type="character" w:customStyle="1" w:styleId="68">
    <w:name w:val="正文文本首行缩进 2 字符"/>
    <w:link w:val="36"/>
    <w:qFormat/>
    <w:uiPriority w:val="0"/>
    <w:rPr>
      <w:rFonts w:ascii="宋体" w:hAnsi="宋体" w:eastAsia="宋体" w:cs="Times New Roman"/>
      <w:kern w:val="2"/>
      <w:sz w:val="21"/>
      <w:szCs w:val="21"/>
    </w:rPr>
  </w:style>
  <w:style w:type="paragraph" w:customStyle="1" w:styleId="69">
    <w:name w:val="_Style 3"/>
    <w:next w:val="28"/>
    <w:qFormat/>
    <w:uiPriority w:val="99"/>
    <w:pPr>
      <w:widowControl w:val="0"/>
      <w:jc w:val="both"/>
    </w:pPr>
    <w:rPr>
      <w:rFonts w:ascii="Times New Roman" w:hAnsi="Times New Roman" w:eastAsia="宋体" w:cs="Times New Roman"/>
      <w:kern w:val="2"/>
      <w:sz w:val="21"/>
      <w:szCs w:val="22"/>
      <w:lang w:val="en-US" w:eastAsia="zh-CN" w:bidi="ar-SA"/>
    </w:rPr>
  </w:style>
  <w:style w:type="character" w:customStyle="1" w:styleId="70">
    <w:name w:val="正文缩进 Char"/>
    <w:qFormat/>
    <w:uiPriority w:val="0"/>
    <w:rPr>
      <w:rFonts w:ascii="Times New Roman" w:hAnsi="Times New Roman" w:eastAsia="宋体" w:cs="Times New Roman"/>
      <w:kern w:val="2"/>
      <w:sz w:val="21"/>
      <w:lang w:val="en-US" w:eastAsia="zh-CN" w:bidi="ar-SA"/>
    </w:rPr>
  </w:style>
  <w:style w:type="character" w:customStyle="1" w:styleId="71">
    <w:name w:val="纯文本 Char Char1"/>
    <w:qFormat/>
    <w:uiPriority w:val="0"/>
    <w:rPr>
      <w:rFonts w:ascii="宋体" w:hAnsi="Courier New" w:eastAsia="宋体" w:cs="Times New Roman"/>
      <w:kern w:val="2"/>
      <w:sz w:val="21"/>
      <w:szCs w:val="21"/>
      <w:lang w:bidi="ar-SA"/>
    </w:rPr>
  </w:style>
  <w:style w:type="character" w:customStyle="1" w:styleId="72">
    <w:name w:val="ALT+Z Char"/>
    <w:qFormat/>
    <w:uiPriority w:val="0"/>
    <w:rPr>
      <w:rFonts w:ascii="Times New Roman" w:hAnsi="Times New Roman" w:eastAsia="宋体" w:cs="Times New Roman"/>
      <w:kern w:val="2"/>
      <w:sz w:val="21"/>
      <w:szCs w:val="21"/>
      <w:lang w:bidi="ar-SA"/>
    </w:rPr>
  </w:style>
  <w:style w:type="character" w:customStyle="1" w:styleId="73">
    <w:name w:val="style21"/>
    <w:qFormat/>
    <w:uiPriority w:val="0"/>
    <w:rPr>
      <w:rFonts w:hint="eastAsia" w:ascii="宋体" w:hAnsi="宋体" w:eastAsia="宋体" w:cs="Times New Roman"/>
      <w:b/>
      <w:bCs/>
      <w:color w:val="000000"/>
      <w:sz w:val="33"/>
      <w:szCs w:val="33"/>
    </w:rPr>
  </w:style>
  <w:style w:type="character" w:customStyle="1" w:styleId="74">
    <w:name w:val="Char Char5"/>
    <w:qFormat/>
    <w:uiPriority w:val="0"/>
    <w:rPr>
      <w:rFonts w:ascii="Times New Roman" w:hAnsi="Times New Roman" w:eastAsia="宋体" w:cs="Times New Roman"/>
      <w:sz w:val="18"/>
      <w:lang w:bidi="ar-SA"/>
    </w:rPr>
  </w:style>
  <w:style w:type="character" w:customStyle="1" w:styleId="75">
    <w:name w:val="H2 Char"/>
    <w:qFormat/>
    <w:uiPriority w:val="0"/>
    <w:rPr>
      <w:rFonts w:ascii="Arial" w:hAnsi="Arial" w:eastAsia="幼圆" w:cs="Arial"/>
      <w:b/>
      <w:bCs/>
      <w:kern w:val="2"/>
      <w:sz w:val="44"/>
      <w:szCs w:val="44"/>
      <w:lang w:val="en-US" w:eastAsia="zh-CN" w:bidi="ar-SA"/>
    </w:rPr>
  </w:style>
  <w:style w:type="character" w:customStyle="1" w:styleId="76">
    <w:name w:val="普通文字 Char Char2"/>
    <w:qFormat/>
    <w:uiPriority w:val="0"/>
    <w:rPr>
      <w:rFonts w:ascii="宋体" w:hAnsi="Courier New" w:eastAsia="宋体" w:cs="Courier New"/>
      <w:kern w:val="2"/>
      <w:sz w:val="21"/>
      <w:szCs w:val="21"/>
    </w:rPr>
  </w:style>
  <w:style w:type="character" w:customStyle="1" w:styleId="77">
    <w:name w:val="H3 Char"/>
    <w:qFormat/>
    <w:uiPriority w:val="0"/>
    <w:rPr>
      <w:rFonts w:ascii="Times New Roman" w:hAnsi="Times New Roman" w:eastAsia="宋体" w:cs="Times New Roman"/>
      <w:b/>
      <w:bCs/>
      <w:kern w:val="2"/>
      <w:sz w:val="32"/>
      <w:szCs w:val="32"/>
      <w:lang w:bidi="ar-SA"/>
    </w:rPr>
  </w:style>
  <w:style w:type="character" w:customStyle="1" w:styleId="78">
    <w:name w:val="标题 3 Char"/>
    <w:qFormat/>
    <w:uiPriority w:val="0"/>
    <w:rPr>
      <w:rFonts w:ascii="Times New Roman" w:hAnsi="Times New Roman" w:eastAsia="宋体" w:cs="Times New Roman"/>
      <w:b/>
      <w:bCs/>
      <w:kern w:val="2"/>
      <w:sz w:val="32"/>
      <w:szCs w:val="32"/>
      <w:lang w:val="en-US" w:eastAsia="zh-CN" w:bidi="ar-SA"/>
    </w:rPr>
  </w:style>
  <w:style w:type="character" w:customStyle="1" w:styleId="79">
    <w:name w:val="Char Char14"/>
    <w:qFormat/>
    <w:uiPriority w:val="0"/>
    <w:rPr>
      <w:rFonts w:ascii="宋体" w:hAnsi="Courier New" w:eastAsia="宋体" w:cs="Times New Roman"/>
      <w:kern w:val="2"/>
      <w:sz w:val="21"/>
      <w:lang w:val="en-US" w:eastAsia="zh-CN" w:bidi="ar-SA"/>
    </w:rPr>
  </w:style>
  <w:style w:type="character" w:customStyle="1" w:styleId="80">
    <w:name w:val="二级目录 Char Char"/>
    <w:link w:val="81"/>
    <w:qFormat/>
    <w:uiPriority w:val="0"/>
    <w:rPr>
      <w:rFonts w:eastAsia="Times New Roman"/>
      <w:b/>
      <w:kern w:val="2"/>
      <w:sz w:val="30"/>
      <w:szCs w:val="28"/>
      <w:lang w:val="en-US" w:eastAsia="zh-CN" w:bidi="ar-SA"/>
    </w:rPr>
  </w:style>
  <w:style w:type="paragraph" w:customStyle="1" w:styleId="81">
    <w:name w:val="二级目录"/>
    <w:next w:val="1"/>
    <w:link w:val="80"/>
    <w:qFormat/>
    <w:uiPriority w:val="0"/>
    <w:pPr>
      <w:tabs>
        <w:tab w:val="left" w:pos="720"/>
      </w:tabs>
      <w:ind w:left="567" w:hanging="567"/>
      <w:outlineLvl w:val="1"/>
    </w:pPr>
    <w:rPr>
      <w:rFonts w:ascii="Times New Roman" w:hAnsi="Times New Roman" w:eastAsia="Times New Roman" w:cs="Times New Roman"/>
      <w:b/>
      <w:kern w:val="2"/>
      <w:sz w:val="30"/>
      <w:szCs w:val="28"/>
      <w:lang w:val="en-US" w:eastAsia="zh-CN" w:bidi="ar-SA"/>
    </w:rPr>
  </w:style>
  <w:style w:type="character" w:customStyle="1" w:styleId="82">
    <w:name w:val="标题 2 Char"/>
    <w:qFormat/>
    <w:uiPriority w:val="0"/>
    <w:rPr>
      <w:rFonts w:ascii="Arial" w:hAnsi="Arial" w:eastAsia="幼圆" w:cs="Arial"/>
      <w:b/>
      <w:bCs/>
      <w:kern w:val="2"/>
      <w:sz w:val="44"/>
      <w:szCs w:val="44"/>
      <w:lang w:val="en-US" w:eastAsia="zh-CN" w:bidi="ar-SA"/>
    </w:rPr>
  </w:style>
  <w:style w:type="character" w:customStyle="1" w:styleId="83">
    <w:name w:val="Char Char"/>
    <w:qFormat/>
    <w:uiPriority w:val="0"/>
    <w:rPr>
      <w:rFonts w:ascii="Times New Roman" w:hAnsi="Times New Roman" w:eastAsia="宋体" w:cs="Times New Roman"/>
      <w:kern w:val="2"/>
      <w:sz w:val="18"/>
      <w:lang w:val="en-US" w:eastAsia="zh-CN" w:bidi="ar-SA"/>
    </w:rPr>
  </w:style>
  <w:style w:type="character" w:customStyle="1" w:styleId="84">
    <w:name w:val="style11"/>
    <w:qFormat/>
    <w:uiPriority w:val="0"/>
    <w:rPr>
      <w:rFonts w:ascii="Times New Roman" w:hAnsi="Times New Roman" w:eastAsia="宋体" w:cs="Times New Roman"/>
    </w:rPr>
  </w:style>
  <w:style w:type="character" w:customStyle="1" w:styleId="85">
    <w:name w:val="font5 Char"/>
    <w:qFormat/>
    <w:uiPriority w:val="0"/>
    <w:rPr>
      <w:rFonts w:ascii="宋体" w:hAnsi="宋体" w:eastAsia="宋体" w:cs="Times New Roman"/>
      <w:sz w:val="28"/>
      <w:szCs w:val="28"/>
      <w:lang w:val="en-US" w:eastAsia="zh-CN" w:bidi="ar-SA"/>
    </w:rPr>
  </w:style>
  <w:style w:type="character" w:customStyle="1" w:styleId="86">
    <w:name w:val="Char Char3"/>
    <w:qFormat/>
    <w:uiPriority w:val="0"/>
    <w:rPr>
      <w:rFonts w:ascii="Times New Roman" w:hAnsi="Times New Roman" w:eastAsia="宋体" w:cs="Times New Roman"/>
      <w:kern w:val="2"/>
      <w:sz w:val="21"/>
      <w:szCs w:val="21"/>
      <w:lang w:val="en-US" w:eastAsia="zh-CN" w:bidi="ar-SA"/>
    </w:rPr>
  </w:style>
  <w:style w:type="character" w:customStyle="1" w:styleId="87">
    <w:name w:val="NormalCharacter"/>
    <w:qFormat/>
    <w:uiPriority w:val="0"/>
  </w:style>
  <w:style w:type="paragraph" w:customStyle="1" w:styleId="88">
    <w:name w:val="table_lines"/>
    <w:basedOn w:val="1"/>
    <w:qFormat/>
    <w:uiPriority w:val="0"/>
    <w:pPr>
      <w:widowControl/>
      <w:jc w:val="left"/>
    </w:pPr>
    <w:rPr>
      <w:rFonts w:ascii="Times New Roman" w:hAnsi="Times New Roman"/>
      <w:kern w:val="0"/>
      <w:sz w:val="20"/>
      <w:lang w:val="de-DE" w:eastAsia="de-DE"/>
    </w:rPr>
  </w:style>
  <w:style w:type="paragraph" w:customStyle="1" w:styleId="89">
    <w:name w:val="纯文本1"/>
    <w:basedOn w:val="1"/>
    <w:qFormat/>
    <w:uiPriority w:val="0"/>
    <w:rPr>
      <w:rFonts w:ascii="宋体" w:hAnsi="Courier New" w:cs="Courier New"/>
      <w:kern w:val="0"/>
      <w:sz w:val="20"/>
      <w:szCs w:val="21"/>
    </w:rPr>
  </w:style>
  <w:style w:type="paragraph" w:customStyle="1" w:styleId="90">
    <w:name w:val="p0"/>
    <w:basedOn w:val="1"/>
    <w:qFormat/>
    <w:uiPriority w:val="0"/>
    <w:pPr>
      <w:widowControl/>
    </w:pPr>
    <w:rPr>
      <w:rFonts w:hint="eastAsia" w:ascii="Times New Roman" w:hAnsi="Times New Roman"/>
      <w:szCs w:val="21"/>
    </w:rPr>
  </w:style>
  <w:style w:type="paragraph" w:customStyle="1" w:styleId="91">
    <w:name w:val="4"/>
    <w:basedOn w:val="1"/>
    <w:next w:val="28"/>
    <w:qFormat/>
    <w:uiPriority w:val="0"/>
    <w:pPr>
      <w:spacing w:line="360" w:lineRule="auto"/>
      <w:ind w:firstLine="420"/>
    </w:pPr>
    <w:rPr>
      <w:rFonts w:ascii="Times New Roman" w:hAnsi="Times New Roman"/>
      <w:color w:val="FF0000"/>
      <w:sz w:val="24"/>
      <w:szCs w:val="24"/>
    </w:rPr>
  </w:style>
  <w:style w:type="paragraph" w:customStyle="1" w:styleId="92">
    <w:name w:val="Char Char Char Char"/>
    <w:basedOn w:val="13"/>
    <w:qFormat/>
    <w:uiPriority w:val="0"/>
    <w:pPr>
      <w:adjustRightInd w:val="0"/>
      <w:snapToGrid w:val="0"/>
      <w:spacing w:line="360" w:lineRule="auto"/>
    </w:pPr>
    <w:rPr>
      <w:rFonts w:ascii="Tahoma" w:hAnsi="Tahoma"/>
      <w:sz w:val="24"/>
      <w:szCs w:val="24"/>
    </w:rPr>
  </w:style>
  <w:style w:type="paragraph" w:customStyle="1" w:styleId="93">
    <w:name w:val="font5"/>
    <w:basedOn w:val="1"/>
    <w:qFormat/>
    <w:uiPriority w:val="0"/>
    <w:pPr>
      <w:widowControl/>
      <w:spacing w:before="100" w:beforeAutospacing="1" w:after="100" w:afterAutospacing="1"/>
      <w:jc w:val="left"/>
    </w:pPr>
    <w:rPr>
      <w:rFonts w:hint="eastAsia" w:ascii="宋体" w:hAnsi="宋体"/>
      <w:kern w:val="0"/>
      <w:sz w:val="28"/>
      <w:szCs w:val="28"/>
    </w:rPr>
  </w:style>
  <w:style w:type="paragraph" w:styleId="94">
    <w:name w:val="List Paragraph"/>
    <w:basedOn w:val="1"/>
    <w:qFormat/>
    <w:uiPriority w:val="0"/>
    <w:pPr>
      <w:widowControl/>
      <w:ind w:left="720"/>
      <w:contextualSpacing/>
      <w:jc w:val="left"/>
    </w:pPr>
    <w:rPr>
      <w:kern w:val="0"/>
      <w:sz w:val="24"/>
      <w:szCs w:val="24"/>
      <w:lang w:eastAsia="en-US" w:bidi="en-US"/>
    </w:rPr>
  </w:style>
  <w:style w:type="paragraph" w:customStyle="1" w:styleId="95">
    <w:name w:val="样式1"/>
    <w:basedOn w:val="1"/>
    <w:qFormat/>
    <w:uiPriority w:val="0"/>
    <w:pPr>
      <w:numPr>
        <w:ilvl w:val="0"/>
        <w:numId w:val="2"/>
      </w:numPr>
      <w:adjustRightInd w:val="0"/>
      <w:textAlignment w:val="baseline"/>
    </w:pPr>
    <w:rPr>
      <w:rFonts w:ascii="宋体" w:hAnsi="宋体"/>
      <w:kern w:val="0"/>
      <w:szCs w:val="21"/>
    </w:rPr>
  </w:style>
  <w:style w:type="paragraph" w:customStyle="1" w:styleId="96">
    <w:name w:val="Blockquote"/>
    <w:basedOn w:val="1"/>
    <w:qFormat/>
    <w:uiPriority w:val="0"/>
    <w:pPr>
      <w:autoSpaceDE w:val="0"/>
      <w:autoSpaceDN w:val="0"/>
      <w:adjustRightInd w:val="0"/>
      <w:spacing w:before="100" w:after="100"/>
      <w:ind w:left="360" w:right="360"/>
      <w:jc w:val="left"/>
    </w:pPr>
    <w:rPr>
      <w:rFonts w:ascii="Times New Roman" w:hAnsi="Times New Roman"/>
      <w:kern w:val="0"/>
      <w:sz w:val="24"/>
    </w:rPr>
  </w:style>
  <w:style w:type="paragraph" w:customStyle="1" w:styleId="97">
    <w:name w:val="标题3"/>
    <w:basedOn w:val="1"/>
    <w:next w:val="1"/>
    <w:qFormat/>
    <w:uiPriority w:val="0"/>
    <w:pPr>
      <w:autoSpaceDE w:val="0"/>
      <w:autoSpaceDN w:val="0"/>
      <w:snapToGrid w:val="0"/>
      <w:spacing w:line="590" w:lineRule="atLeast"/>
      <w:ind w:firstLine="624"/>
    </w:pPr>
    <w:rPr>
      <w:rFonts w:ascii="方正黑体_GBK" w:hAnsi="Times New Roman" w:eastAsia="方正黑体_GBK"/>
      <w:snapToGrid/>
      <w:kern w:val="0"/>
      <w:sz w:val="32"/>
      <w:szCs w:val="32"/>
    </w:rPr>
  </w:style>
  <w:style w:type="paragraph" w:customStyle="1" w:styleId="98">
    <w:name w:val="table_1stline"/>
    <w:basedOn w:val="1"/>
    <w:qFormat/>
    <w:uiPriority w:val="0"/>
    <w:pPr>
      <w:widowControl/>
      <w:spacing w:before="120"/>
      <w:jc w:val="left"/>
    </w:pPr>
    <w:rPr>
      <w:rFonts w:ascii="Times New Roman" w:hAnsi="Times New Roman"/>
      <w:bCs/>
      <w:kern w:val="0"/>
      <w:sz w:val="20"/>
      <w:lang w:val="de-DE" w:eastAsia="de-DE"/>
    </w:rPr>
  </w:style>
  <w:style w:type="paragraph" w:customStyle="1" w:styleId="99">
    <w:name w:val="_Style 98"/>
    <w:basedOn w:val="2"/>
    <w:next w:val="1"/>
    <w:qFormat/>
    <w:uiPriority w:val="0"/>
    <w:pPr>
      <w:keepLines/>
      <w:widowControl/>
      <w:spacing w:before="480" w:line="276" w:lineRule="auto"/>
      <w:jc w:val="left"/>
      <w:outlineLvl w:val="9"/>
    </w:pPr>
    <w:rPr>
      <w:rFonts w:ascii="Cambria" w:hAnsi="Cambria" w:eastAsia="宋体"/>
      <w:b/>
      <w:bCs/>
      <w:color w:val="365F91"/>
      <w:kern w:val="0"/>
    </w:rPr>
  </w:style>
  <w:style w:type="paragraph" w:customStyle="1" w:styleId="100">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101">
    <w:name w:val="font6"/>
    <w:basedOn w:val="1"/>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02">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104">
    <w:name w:val="font7"/>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05">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6">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7">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108">
    <w:name w:val="样式 标题 3 + (中文) 黑体 小四 非加粗 段前: 7.8 磅 段后: 0 磅 行距: 固定值 20 磅"/>
    <w:basedOn w:val="5"/>
    <w:qFormat/>
    <w:uiPriority w:val="0"/>
    <w:pPr>
      <w:spacing w:before="0" w:after="0" w:line="400" w:lineRule="exact"/>
    </w:pPr>
    <w:rPr>
      <w:rFonts w:hint="eastAsia" w:eastAsia="黑体"/>
      <w:b w:val="0"/>
      <w:bCs w:val="0"/>
      <w:sz w:val="24"/>
      <w:szCs w:val="21"/>
    </w:rPr>
  </w:style>
  <w:style w:type="paragraph" w:customStyle="1" w:styleId="109">
    <w:name w:val="Body Text(ch)"/>
    <w:basedOn w:val="1"/>
    <w:next w:val="16"/>
    <w:qFormat/>
    <w:uiPriority w:val="0"/>
    <w:pPr>
      <w:spacing w:after="120"/>
    </w:pPr>
    <w:rPr>
      <w:rFonts w:ascii="宋体" w:hAnsi="Arial"/>
      <w:bCs/>
      <w:iCs/>
      <w:szCs w:val="24"/>
    </w:rPr>
  </w:style>
  <w:style w:type="paragraph" w:customStyle="1" w:styleId="110">
    <w:name w:val="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111">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112">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ascii="Times New Roman" w:hAnsi="Times New Roman" w:eastAsia="仿宋_GB2312"/>
      <w:kern w:val="0"/>
      <w:sz w:val="24"/>
    </w:rPr>
  </w:style>
  <w:style w:type="paragraph" w:customStyle="1" w:styleId="113">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14">
    <w:name w:val="Char Char Char Char1"/>
    <w:basedOn w:val="13"/>
    <w:qFormat/>
    <w:uiPriority w:val="0"/>
    <w:pPr>
      <w:adjustRightInd w:val="0"/>
      <w:snapToGrid w:val="0"/>
      <w:spacing w:line="360" w:lineRule="auto"/>
    </w:pPr>
    <w:rPr>
      <w:rFonts w:ascii="Tahoma" w:hAnsi="Tahoma"/>
      <w:sz w:val="24"/>
      <w:szCs w:val="24"/>
    </w:rPr>
  </w:style>
  <w:style w:type="paragraph" w:customStyle="1" w:styleId="115">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hAnsi="Times New Roman" w:eastAsia="方正小标宋_GBK"/>
      <w:snapToGrid/>
      <w:kern w:val="0"/>
      <w:sz w:val="44"/>
    </w:rPr>
  </w:style>
  <w:style w:type="paragraph" w:customStyle="1" w:styleId="116">
    <w:name w:val="Char Char Char Char Char Char Char Char1"/>
    <w:basedOn w:val="1"/>
    <w:qFormat/>
    <w:uiPriority w:val="0"/>
    <w:pPr>
      <w:widowControl/>
      <w:spacing w:after="160" w:line="240" w:lineRule="exact"/>
      <w:jc w:val="left"/>
    </w:pPr>
    <w:rPr>
      <w:rFonts w:ascii="Verdana" w:hAnsi="Verdana"/>
      <w:kern w:val="0"/>
      <w:sz w:val="20"/>
      <w:lang w:eastAsia="en-US"/>
    </w:rPr>
  </w:style>
  <w:style w:type="paragraph" w:customStyle="1" w:styleId="117">
    <w:name w:val="Char"/>
    <w:basedOn w:val="13"/>
    <w:qFormat/>
    <w:uiPriority w:val="0"/>
    <w:rPr>
      <w:rFonts w:ascii="Tahoma" w:hAnsi="Tahoma"/>
      <w:sz w:val="24"/>
      <w:szCs w:val="24"/>
    </w:rPr>
  </w:style>
  <w:style w:type="paragraph" w:customStyle="1" w:styleId="11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19">
    <w:name w:val="Char1"/>
    <w:basedOn w:val="1"/>
    <w:qFormat/>
    <w:uiPriority w:val="0"/>
    <w:pPr>
      <w:tabs>
        <w:tab w:val="left" w:pos="360"/>
      </w:tabs>
    </w:pPr>
    <w:rPr>
      <w:rFonts w:ascii="Times New Roman" w:hAnsi="Times New Roman"/>
      <w:sz w:val="24"/>
      <w:szCs w:val="24"/>
    </w:rPr>
  </w:style>
  <w:style w:type="paragraph" w:customStyle="1" w:styleId="120">
    <w:name w:val="附录1"/>
    <w:qFormat/>
    <w:uiPriority w:val="0"/>
    <w:pPr>
      <w:numPr>
        <w:ilvl w:val="0"/>
        <w:numId w:val="3"/>
      </w:numPr>
      <w:snapToGrid w:val="0"/>
      <w:spacing w:before="240" w:line="600" w:lineRule="atLeast"/>
    </w:pPr>
    <w:rPr>
      <w:rFonts w:ascii="Times New Roman" w:hAnsi="Times New Roman" w:eastAsia="宋体" w:cs="Times New Roman"/>
      <w:b/>
      <w:i/>
      <w:sz w:val="28"/>
      <w:lang w:val="en-US" w:eastAsia="zh-CN" w:bidi="ar-SA"/>
    </w:rPr>
  </w:style>
  <w:style w:type="paragraph" w:customStyle="1" w:styleId="121">
    <w:name w:val="普通 (Web)"/>
    <w:basedOn w:val="1"/>
    <w:qFormat/>
    <w:uiPriority w:val="0"/>
    <w:pPr>
      <w:widowControl/>
      <w:spacing w:before="100" w:beforeAutospacing="1" w:after="100" w:afterAutospacing="1"/>
      <w:jc w:val="left"/>
    </w:pPr>
    <w:rPr>
      <w:rFonts w:ascii="宋体" w:hAnsi="宋体"/>
      <w:kern w:val="0"/>
      <w:sz w:val="24"/>
      <w:szCs w:val="24"/>
    </w:rPr>
  </w:style>
  <w:style w:type="character" w:customStyle="1" w:styleId="122">
    <w:name w:val="纯文本 字符1"/>
    <w:qFormat/>
    <w:uiPriority w:val="99"/>
    <w:rPr>
      <w:rFonts w:ascii="宋体" w:hAnsi="Courier New" w:cs="Courier New"/>
      <w:kern w:val="2"/>
      <w:sz w:val="21"/>
      <w:szCs w:val="21"/>
    </w:rPr>
  </w:style>
  <w:style w:type="paragraph" w:customStyle="1" w:styleId="123">
    <w:name w:val="_Style 122"/>
    <w:unhideWhenUsed/>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微软公司</Company>
  <Pages>65</Pages>
  <Words>4712</Words>
  <Characters>5133</Characters>
  <Lines>231</Lines>
  <Paragraphs>65</Paragraphs>
  <TotalTime>0</TotalTime>
  <ScaleCrop>false</ScaleCrop>
  <LinksUpToDate>false</LinksUpToDate>
  <CharactersWithSpaces>5235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2023-09-19T02:11:00Z</dcterms:created>
  <dc:creator>tianchangshan</dc:creator>
  <cp:lastModifiedBy>田长山</cp:lastModifiedBy>
  <cp:lastPrinted>2021-04-06T08:48:00Z</cp:lastPrinted>
  <dcterms:modified xsi:type="dcterms:W3CDTF">2026-03-27T04:15:42Z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9CBAF0E2436B449A9B38F9C6D8B997EA_13</vt:lpwstr>
  </property>
  <property fmtid="{D5CDD505-2E9C-101B-9397-08002B2CF9AE}" pid="4" name="KSOTemplateDocerSaveRecord">
    <vt:lpwstr>eyJoZGlkIjoiZjFkYmY1Nzk1ZGEwNGY0Yzk5NDlkODRlNzQ3N2ZlYWUiLCJ1c2VySWQiOiIzMDA0MjAwNDQifQ==</vt:lpwstr>
  </property>
</Properties>
</file>